
<file path=[Content_Types].xml><?xml version="1.0" encoding="utf-8"?>
<Types xmlns="http://schemas.openxmlformats.org/package/2006/content-types">
  <Default Extension="bin" ContentType="application/vnd.openxmlformats-officedocument.oleObject"/>
  <Default Extension="jpeg" ContentType="image/jpeg"/>
  <Default Extension="JPG" ContentType="image/.jpg"/>
  <Default Extension="png" ContentType="image/png"/>
  <Default Extension="emf" ContentType="image/x-emf"/>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7BBB9930">
      <w:pPr>
        <w:pStyle w:val="94"/>
      </w:pPr>
      <w:r>
        <w:rPr>
          <w:sz w:val="48"/>
          <w:szCs w:val="48"/>
        </w:rPr>
        <w:drawing>
          <wp:anchor distT="0" distB="0" distL="114300" distR="114300" simplePos="0" relativeHeight="251659264" behindDoc="0" locked="0" layoutInCell="1" allowOverlap="1">
            <wp:simplePos x="0" y="0"/>
            <wp:positionH relativeFrom="column">
              <wp:posOffset>10795</wp:posOffset>
            </wp:positionH>
            <wp:positionV relativeFrom="paragraph">
              <wp:posOffset>-6350</wp:posOffset>
            </wp:positionV>
            <wp:extent cx="2548890" cy="889000"/>
            <wp:effectExtent l="0" t="0" r="3810" b="6350"/>
            <wp:wrapNone/>
            <wp:docPr id="1" name="图片 1" descr="tim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tim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a:xfrm>
                      <a:off x="0" y="0"/>
                      <a:ext cx="2548890" cy="889000"/>
                    </a:xfrm>
                    <a:prstGeom prst="rect">
                      <a:avLst/>
                    </a:prstGeom>
                    <a:noFill/>
                    <a:ln>
                      <a:noFill/>
                    </a:ln>
                  </pic:spPr>
                </pic:pic>
              </a:graphicData>
            </a:graphic>
          </wp:anchor>
        </w:drawing>
      </w:r>
    </w:p>
    <w:p w14:paraId="66F0CAD5">
      <w:pPr>
        <w:ind w:right="280"/>
        <w:jc w:val="center"/>
        <w:rPr>
          <w:rFonts w:ascii="宋体" w:hAnsi="宋体"/>
          <w:sz w:val="48"/>
          <w:szCs w:val="48"/>
        </w:rPr>
      </w:pPr>
    </w:p>
    <w:p w14:paraId="3EA24C15">
      <w:pPr>
        <w:ind w:right="280"/>
        <w:jc w:val="center"/>
        <w:rPr>
          <w:rFonts w:ascii="宋体" w:hAnsi="宋体"/>
          <w:sz w:val="48"/>
          <w:szCs w:val="48"/>
        </w:rPr>
      </w:pPr>
    </w:p>
    <w:p w14:paraId="734DA162">
      <w:pPr>
        <w:ind w:right="280"/>
        <w:jc w:val="center"/>
        <w:rPr>
          <w:rFonts w:ascii="宋体" w:hAnsi="宋体"/>
          <w:sz w:val="48"/>
          <w:szCs w:val="48"/>
        </w:rPr>
      </w:pPr>
    </w:p>
    <w:p w14:paraId="0435320E">
      <w:pPr>
        <w:ind w:right="280"/>
        <w:jc w:val="center"/>
        <w:rPr>
          <w:rFonts w:ascii="宋体" w:hAnsi="宋体"/>
          <w:sz w:val="48"/>
          <w:szCs w:val="48"/>
        </w:rPr>
      </w:pPr>
    </w:p>
    <w:p w14:paraId="07CDE389">
      <w:pPr>
        <w:ind w:right="280"/>
        <w:jc w:val="center"/>
        <w:rPr>
          <w:rFonts w:ascii="楷体_GB2312" w:hAnsi="宋体" w:eastAsia="楷体_GB2312"/>
          <w:sz w:val="52"/>
          <w:szCs w:val="52"/>
        </w:rPr>
      </w:pPr>
    </w:p>
    <w:p w14:paraId="7F49EB1E">
      <w:pPr>
        <w:ind w:right="280"/>
        <w:jc w:val="center"/>
        <w:rPr>
          <w:rFonts w:hint="eastAsia" w:ascii="楷体_GB2312" w:hAnsi="宋体" w:eastAsia="楷体_GB2312"/>
          <w:sz w:val="52"/>
          <w:szCs w:val="52"/>
          <w:highlight w:val="yellow"/>
          <w:lang w:eastAsia="zh-CN"/>
        </w:rPr>
      </w:pPr>
      <w:r>
        <w:rPr>
          <w:rFonts w:hint="eastAsia" w:ascii="楷体_GB2312" w:hAnsi="宋体" w:eastAsia="楷体_GB2312"/>
          <w:sz w:val="52"/>
          <w:szCs w:val="52"/>
          <w:highlight w:val="yellow"/>
          <w:lang w:eastAsia="zh-CN"/>
        </w:rPr>
        <w:t>济南成型厂3906缸体工装修改项目</w:t>
      </w:r>
    </w:p>
    <w:p w14:paraId="009EA4D6">
      <w:pPr>
        <w:ind w:right="280"/>
        <w:jc w:val="center"/>
        <w:rPr>
          <w:rFonts w:ascii="楷体_GB2312" w:hAnsi="宋体" w:eastAsia="楷体_GB2312"/>
          <w:sz w:val="52"/>
          <w:szCs w:val="52"/>
        </w:rPr>
      </w:pPr>
      <w:r>
        <w:rPr>
          <w:rFonts w:hint="eastAsia" w:ascii="楷体_GB2312" w:hAnsi="宋体" w:eastAsia="楷体_GB2312"/>
          <w:sz w:val="52"/>
          <w:szCs w:val="52"/>
        </w:rPr>
        <w:t>招标项目</w:t>
      </w:r>
    </w:p>
    <w:p w14:paraId="612663B5">
      <w:pPr>
        <w:ind w:right="280"/>
        <w:jc w:val="center"/>
        <w:rPr>
          <w:sz w:val="28"/>
          <w:szCs w:val="28"/>
        </w:rPr>
      </w:pPr>
    </w:p>
    <w:p w14:paraId="18CBF8EA">
      <w:pPr>
        <w:ind w:right="280"/>
        <w:jc w:val="center"/>
        <w:rPr>
          <w:sz w:val="28"/>
          <w:szCs w:val="28"/>
        </w:rPr>
      </w:pPr>
    </w:p>
    <w:p w14:paraId="6418E5FF">
      <w:pPr>
        <w:jc w:val="center"/>
        <w:rPr>
          <w:rFonts w:ascii="宋体" w:hAnsi="宋体" w:cs="宋体"/>
          <w:sz w:val="72"/>
          <w:szCs w:val="72"/>
        </w:rPr>
      </w:pPr>
      <w:r>
        <w:rPr>
          <w:rFonts w:hint="eastAsia" w:ascii="宋体" w:hAnsi="宋体" w:cs="宋体"/>
          <w:sz w:val="72"/>
          <w:szCs w:val="72"/>
        </w:rPr>
        <w:t>招标文件</w:t>
      </w:r>
    </w:p>
    <w:p w14:paraId="2A3C624C">
      <w:pPr>
        <w:jc w:val="center"/>
        <w:rPr>
          <w:rFonts w:ascii="宋体" w:hAnsi="宋体"/>
          <w:sz w:val="48"/>
          <w:szCs w:val="48"/>
        </w:rPr>
      </w:pPr>
    </w:p>
    <w:p w14:paraId="6993BE58">
      <w:pPr>
        <w:jc w:val="center"/>
        <w:rPr>
          <w:rFonts w:ascii="宋体" w:hAnsi="宋体"/>
          <w:sz w:val="48"/>
          <w:szCs w:val="48"/>
        </w:rPr>
      </w:pPr>
    </w:p>
    <w:p w14:paraId="63FA33C5">
      <w:pPr>
        <w:widowControl/>
        <w:spacing w:line="360" w:lineRule="auto"/>
        <w:jc w:val="center"/>
        <w:rPr>
          <w:rFonts w:hint="eastAsia" w:ascii="宋体" w:hAnsi="宋体" w:eastAsia="宋体" w:cs="宋体"/>
          <w:b/>
          <w:bCs/>
          <w:kern w:val="0"/>
          <w:sz w:val="32"/>
          <w:szCs w:val="32"/>
          <w:highlight w:val="yellow"/>
          <w:u w:val="single"/>
          <w:lang w:eastAsia="zh-CN"/>
        </w:rPr>
      </w:pPr>
      <w:r>
        <w:rPr>
          <w:rFonts w:hint="eastAsia" w:ascii="宋体" w:hAnsi="宋体" w:cs="宋体"/>
          <w:b/>
          <w:bCs/>
          <w:kern w:val="0"/>
          <w:sz w:val="32"/>
          <w:szCs w:val="32"/>
        </w:rPr>
        <w:t>项目编号：</w:t>
      </w:r>
    </w:p>
    <w:p w14:paraId="10A10BCC">
      <w:pPr>
        <w:jc w:val="center"/>
        <w:rPr>
          <w:rFonts w:ascii="宋体" w:hAnsi="宋体"/>
          <w:sz w:val="48"/>
          <w:szCs w:val="48"/>
        </w:rPr>
      </w:pPr>
    </w:p>
    <w:p w14:paraId="0D4E54EC">
      <w:pPr>
        <w:jc w:val="center"/>
        <w:rPr>
          <w:rFonts w:ascii="宋体" w:hAnsi="宋体"/>
          <w:sz w:val="48"/>
          <w:szCs w:val="48"/>
        </w:rPr>
      </w:pPr>
    </w:p>
    <w:p w14:paraId="111CA3F9">
      <w:pPr>
        <w:jc w:val="center"/>
        <w:rPr>
          <w:rFonts w:ascii="宋体" w:hAnsi="宋体"/>
          <w:sz w:val="28"/>
          <w:szCs w:val="28"/>
        </w:rPr>
      </w:pPr>
    </w:p>
    <w:p w14:paraId="75241AEF">
      <w:pPr>
        <w:jc w:val="center"/>
        <w:rPr>
          <w:rFonts w:hint="eastAsia" w:ascii="宋体" w:hAnsi="宋体"/>
          <w:sz w:val="28"/>
          <w:szCs w:val="28"/>
        </w:rPr>
      </w:pPr>
      <w:r>
        <w:rPr>
          <w:rFonts w:hint="eastAsia" w:ascii="宋体" w:hAnsi="宋体"/>
          <w:sz w:val="28"/>
          <w:szCs w:val="28"/>
        </w:rPr>
        <w:t>招 标 人：中国重汽集团济南动力有限公司成型厂</w:t>
      </w:r>
    </w:p>
    <w:p w14:paraId="09CB3C92">
      <w:pPr>
        <w:jc w:val="center"/>
        <w:rPr>
          <w:rFonts w:ascii="宋体" w:hAnsi="宋体"/>
          <w:b/>
          <w:bCs/>
          <w:sz w:val="48"/>
          <w:szCs w:val="48"/>
        </w:rPr>
      </w:pPr>
      <w:r>
        <w:rPr>
          <w:rFonts w:hint="eastAsia" w:ascii="宋体" w:hAnsi="宋体"/>
          <w:sz w:val="28"/>
          <w:szCs w:val="28"/>
          <w:u w:val="single"/>
        </w:rPr>
        <w:t>20</w:t>
      </w:r>
      <w:r>
        <w:rPr>
          <w:rFonts w:hint="eastAsia" w:ascii="宋体" w:hAnsi="宋体"/>
          <w:sz w:val="28"/>
          <w:szCs w:val="28"/>
          <w:u w:val="single"/>
          <w:lang w:val="en-US" w:eastAsia="zh-CN"/>
        </w:rPr>
        <w:t>26</w:t>
      </w:r>
      <w:r>
        <w:rPr>
          <w:rFonts w:hint="eastAsia" w:ascii="宋体" w:hAnsi="宋体"/>
          <w:sz w:val="28"/>
          <w:szCs w:val="28"/>
          <w:u w:val="single"/>
        </w:rPr>
        <w:t>年</w:t>
      </w:r>
      <w:r>
        <w:rPr>
          <w:rFonts w:hint="eastAsia" w:ascii="宋体" w:hAnsi="宋体"/>
          <w:sz w:val="28"/>
          <w:szCs w:val="28"/>
          <w:u w:val="single"/>
          <w:lang w:val="en-US" w:eastAsia="zh-CN"/>
        </w:rPr>
        <w:t>2</w:t>
      </w:r>
      <w:r>
        <w:rPr>
          <w:rFonts w:hint="eastAsia" w:ascii="宋体" w:hAnsi="宋体"/>
          <w:sz w:val="28"/>
          <w:szCs w:val="28"/>
          <w:u w:val="single"/>
        </w:rPr>
        <w:t>月</w:t>
      </w:r>
    </w:p>
    <w:p w14:paraId="70188DF3">
      <w:pPr>
        <w:spacing w:line="480" w:lineRule="auto"/>
        <w:jc w:val="center"/>
        <w:rPr>
          <w:rFonts w:ascii="宋体" w:hAnsi="宋体"/>
          <w:b/>
          <w:bCs/>
          <w:sz w:val="48"/>
          <w:szCs w:val="48"/>
        </w:rPr>
        <w:sectPr>
          <w:footerReference r:id="rId6" w:type="first"/>
          <w:headerReference r:id="rId3" w:type="default"/>
          <w:footerReference r:id="rId4" w:type="default"/>
          <w:footerReference r:id="rId5" w:type="even"/>
          <w:pgSz w:w="11906" w:h="16838"/>
          <w:pgMar w:top="1701" w:right="1418" w:bottom="1134" w:left="1418" w:header="851" w:footer="992" w:gutter="0"/>
          <w:pgNumType w:fmt="numberInDash" w:start="1"/>
          <w:cols w:space="720" w:num="1"/>
          <w:titlePg/>
          <w:docGrid w:type="lines" w:linePitch="312" w:charSpace="0"/>
        </w:sectPr>
      </w:pPr>
    </w:p>
    <w:sdt>
      <w:sdtPr>
        <w:rPr>
          <w:rFonts w:ascii="Times New Roman" w:hAnsi="Times New Roman" w:eastAsia="宋体" w:cs="Times New Roman"/>
          <w:color w:val="auto"/>
          <w:kern w:val="2"/>
          <w:sz w:val="21"/>
          <w:szCs w:val="20"/>
          <w:lang w:val="zh-CN"/>
        </w:rPr>
        <w:id w:val="-629018532"/>
        <w:docPartObj>
          <w:docPartGallery w:val="Table of Contents"/>
          <w:docPartUnique/>
        </w:docPartObj>
      </w:sdtPr>
      <w:sdtEndPr>
        <w:rPr>
          <w:rFonts w:ascii="Times New Roman" w:hAnsi="Times New Roman" w:eastAsia="宋体" w:cs="Times New Roman"/>
          <w:b/>
          <w:bCs/>
          <w:color w:val="auto"/>
          <w:kern w:val="2"/>
          <w:sz w:val="21"/>
          <w:szCs w:val="20"/>
          <w:lang w:val="zh-CN"/>
        </w:rPr>
      </w:sdtEndPr>
      <w:sdtContent>
        <w:p w14:paraId="176426B1">
          <w:pPr>
            <w:pStyle w:val="68"/>
            <w:jc w:val="center"/>
            <w:rPr>
              <w:rFonts w:ascii="黑体" w:hAnsi="黑体" w:eastAsia="黑体"/>
              <w:b/>
              <w:color w:val="auto"/>
              <w:sz w:val="44"/>
              <w:szCs w:val="44"/>
              <w:lang w:val="zh-CN"/>
            </w:rPr>
          </w:pPr>
          <w:r>
            <w:rPr>
              <w:rFonts w:ascii="黑体" w:hAnsi="黑体" w:eastAsia="黑体"/>
              <w:b/>
              <w:color w:val="auto"/>
              <w:sz w:val="44"/>
              <w:szCs w:val="44"/>
              <w:lang w:val="zh-CN"/>
            </w:rPr>
            <w:t>目</w:t>
          </w:r>
          <w:r>
            <w:rPr>
              <w:rFonts w:hint="eastAsia" w:ascii="黑体" w:hAnsi="黑体" w:eastAsia="黑体"/>
              <w:b/>
              <w:color w:val="auto"/>
              <w:sz w:val="44"/>
              <w:szCs w:val="44"/>
              <w:lang w:val="zh-CN"/>
            </w:rPr>
            <w:t xml:space="preserve"> </w:t>
          </w:r>
          <w:r>
            <w:rPr>
              <w:rFonts w:ascii="黑体" w:hAnsi="黑体" w:eastAsia="黑体"/>
              <w:b/>
              <w:color w:val="auto"/>
              <w:sz w:val="44"/>
              <w:szCs w:val="44"/>
              <w:lang w:val="zh-CN"/>
            </w:rPr>
            <w:t xml:space="preserve">    录</w:t>
          </w:r>
        </w:p>
        <w:p w14:paraId="46B5AC1E">
          <w:pPr>
            <w:pStyle w:val="21"/>
            <w:tabs>
              <w:tab w:val="right" w:leader="middleDot" w:pos="9070"/>
              <w:tab w:val="clear" w:pos="8729"/>
            </w:tabs>
          </w:pPr>
          <w:r>
            <w:rPr>
              <w:rFonts w:hint="eastAsia" w:ascii="Calibri" w:hAnsi="Calibri"/>
              <w:bCs/>
              <w:kern w:val="44"/>
              <w:sz w:val="36"/>
              <w:szCs w:val="44"/>
            </w:rPr>
            <w:fldChar w:fldCharType="begin"/>
          </w:r>
          <w:r>
            <w:rPr>
              <w:rFonts w:hint="eastAsia" w:ascii="Calibri" w:hAnsi="Calibri"/>
              <w:bCs/>
              <w:kern w:val="44"/>
              <w:sz w:val="36"/>
              <w:szCs w:val="44"/>
            </w:rPr>
            <w:instrText xml:space="preserve">TOC \o "1-1" \h \u </w:instrText>
          </w:r>
          <w:r>
            <w:rPr>
              <w:rFonts w:hint="eastAsia" w:ascii="Calibri" w:hAnsi="Calibri"/>
              <w:bCs/>
              <w:kern w:val="44"/>
              <w:sz w:val="36"/>
              <w:szCs w:val="44"/>
            </w:rPr>
            <w:fldChar w:fldCharType="separate"/>
          </w:r>
          <w:r>
            <w:rPr>
              <w:rFonts w:hint="eastAsia" w:ascii="Calibri" w:hAnsi="Calibri"/>
              <w:bCs/>
              <w:kern w:val="44"/>
              <w:szCs w:val="44"/>
            </w:rPr>
            <w:fldChar w:fldCharType="begin"/>
          </w:r>
          <w:r>
            <w:rPr>
              <w:rFonts w:hint="eastAsia" w:ascii="Calibri" w:hAnsi="Calibri"/>
              <w:bCs/>
              <w:kern w:val="44"/>
              <w:szCs w:val="44"/>
            </w:rPr>
            <w:instrText xml:space="preserve"> HYPERLINK \l _Toc7104 </w:instrText>
          </w:r>
          <w:r>
            <w:rPr>
              <w:rFonts w:hint="eastAsia" w:ascii="Calibri" w:hAnsi="Calibri"/>
              <w:bCs/>
              <w:kern w:val="44"/>
              <w:szCs w:val="44"/>
            </w:rPr>
            <w:fldChar w:fldCharType="separate"/>
          </w:r>
          <w:r>
            <w:rPr>
              <w:rFonts w:hint="eastAsia"/>
            </w:rPr>
            <w:t>招标公告</w:t>
          </w:r>
          <w:r>
            <w:tab/>
          </w:r>
          <w:r>
            <w:fldChar w:fldCharType="begin"/>
          </w:r>
          <w:r>
            <w:instrText xml:space="preserve"> PAGEREF _Toc7104 \h </w:instrText>
          </w:r>
          <w:r>
            <w:fldChar w:fldCharType="separate"/>
          </w:r>
          <w:r>
            <w:t>- 1 -</w:t>
          </w:r>
          <w:r>
            <w:fldChar w:fldCharType="end"/>
          </w:r>
          <w:r>
            <w:rPr>
              <w:rFonts w:hint="eastAsia" w:ascii="Calibri" w:hAnsi="Calibri"/>
              <w:bCs/>
              <w:kern w:val="44"/>
              <w:szCs w:val="44"/>
            </w:rPr>
            <w:fldChar w:fldCharType="end"/>
          </w:r>
        </w:p>
        <w:p w14:paraId="3718B9B5">
          <w:pPr>
            <w:pStyle w:val="21"/>
            <w:tabs>
              <w:tab w:val="right" w:leader="middleDot" w:pos="9070"/>
              <w:tab w:val="clear" w:pos="8729"/>
            </w:tabs>
          </w:pPr>
          <w:r>
            <w:rPr>
              <w:rFonts w:hint="eastAsia" w:ascii="Calibri" w:hAnsi="Calibri" w:eastAsia="宋体" w:cs="Times New Roman"/>
              <w:bCs/>
              <w:kern w:val="44"/>
              <w:szCs w:val="44"/>
            </w:rPr>
            <w:fldChar w:fldCharType="begin"/>
          </w:r>
          <w:r>
            <w:rPr>
              <w:rFonts w:hint="eastAsia" w:ascii="Calibri" w:hAnsi="Calibri" w:eastAsia="宋体" w:cs="Times New Roman"/>
              <w:bCs/>
              <w:kern w:val="44"/>
              <w:szCs w:val="44"/>
            </w:rPr>
            <w:instrText xml:space="preserve"> HYPERLINK \l _Toc7753 </w:instrText>
          </w:r>
          <w:r>
            <w:rPr>
              <w:rFonts w:hint="eastAsia" w:ascii="Calibri" w:hAnsi="Calibri" w:eastAsia="宋体" w:cs="Times New Roman"/>
              <w:bCs/>
              <w:kern w:val="44"/>
              <w:szCs w:val="44"/>
            </w:rPr>
            <w:fldChar w:fldCharType="separate"/>
          </w:r>
          <w:r>
            <w:rPr>
              <w:rFonts w:hint="eastAsia"/>
            </w:rPr>
            <w:t>第一部分  投标人须知</w:t>
          </w:r>
          <w:r>
            <w:tab/>
          </w:r>
          <w:r>
            <w:fldChar w:fldCharType="begin"/>
          </w:r>
          <w:r>
            <w:instrText xml:space="preserve"> PAGEREF _Toc7753 \h </w:instrText>
          </w:r>
          <w:r>
            <w:fldChar w:fldCharType="separate"/>
          </w:r>
          <w:r>
            <w:t>- 2 -</w:t>
          </w:r>
          <w:r>
            <w:fldChar w:fldCharType="end"/>
          </w:r>
          <w:r>
            <w:rPr>
              <w:rFonts w:hint="eastAsia" w:ascii="Calibri" w:hAnsi="Calibri" w:eastAsia="宋体" w:cs="Times New Roman"/>
              <w:bCs/>
              <w:kern w:val="44"/>
              <w:szCs w:val="44"/>
            </w:rPr>
            <w:fldChar w:fldCharType="end"/>
          </w:r>
        </w:p>
        <w:p w14:paraId="5D6BEB3E">
          <w:pPr>
            <w:pStyle w:val="21"/>
            <w:tabs>
              <w:tab w:val="right" w:leader="middleDot" w:pos="9070"/>
              <w:tab w:val="clear" w:pos="8729"/>
            </w:tabs>
          </w:pPr>
          <w:r>
            <w:rPr>
              <w:rFonts w:hint="eastAsia" w:ascii="Calibri" w:hAnsi="Calibri" w:eastAsia="宋体" w:cs="Times New Roman"/>
              <w:bCs/>
              <w:kern w:val="44"/>
              <w:szCs w:val="44"/>
            </w:rPr>
            <w:fldChar w:fldCharType="begin"/>
          </w:r>
          <w:r>
            <w:rPr>
              <w:rFonts w:hint="eastAsia" w:ascii="Calibri" w:hAnsi="Calibri" w:eastAsia="宋体" w:cs="Times New Roman"/>
              <w:bCs/>
              <w:kern w:val="44"/>
              <w:szCs w:val="44"/>
            </w:rPr>
            <w:instrText xml:space="preserve"> HYPERLINK \l _Toc1910 </w:instrText>
          </w:r>
          <w:r>
            <w:rPr>
              <w:rFonts w:hint="eastAsia" w:ascii="Calibri" w:hAnsi="Calibri" w:eastAsia="宋体" w:cs="Times New Roman"/>
              <w:bCs/>
              <w:kern w:val="44"/>
              <w:szCs w:val="44"/>
            </w:rPr>
            <w:fldChar w:fldCharType="separate"/>
          </w:r>
          <w:r>
            <w:rPr>
              <w:rFonts w:hint="eastAsia"/>
            </w:rPr>
            <w:t>第二部分　</w:t>
          </w:r>
          <w:r>
            <w:rPr>
              <w:rFonts w:hint="eastAsia"/>
              <w:lang w:val="en-US" w:eastAsia="zh-CN"/>
            </w:rPr>
            <w:t>技术标书</w:t>
          </w:r>
          <w:r>
            <w:tab/>
          </w:r>
          <w:r>
            <w:fldChar w:fldCharType="begin"/>
          </w:r>
          <w:r>
            <w:instrText xml:space="preserve"> PAGEREF _Toc1910 \h </w:instrText>
          </w:r>
          <w:r>
            <w:fldChar w:fldCharType="separate"/>
          </w:r>
          <w:r>
            <w:t>- 8 -</w:t>
          </w:r>
          <w:r>
            <w:fldChar w:fldCharType="end"/>
          </w:r>
          <w:r>
            <w:rPr>
              <w:rFonts w:hint="eastAsia" w:ascii="Calibri" w:hAnsi="Calibri" w:eastAsia="宋体" w:cs="Times New Roman"/>
              <w:bCs/>
              <w:kern w:val="44"/>
              <w:szCs w:val="44"/>
            </w:rPr>
            <w:fldChar w:fldCharType="end"/>
          </w:r>
        </w:p>
        <w:p w14:paraId="7691DBF9">
          <w:pPr>
            <w:pStyle w:val="21"/>
            <w:tabs>
              <w:tab w:val="right" w:leader="middleDot" w:pos="9070"/>
              <w:tab w:val="clear" w:pos="8729"/>
            </w:tabs>
          </w:pPr>
          <w:r>
            <w:rPr>
              <w:rFonts w:hint="eastAsia" w:ascii="Calibri" w:hAnsi="Calibri" w:eastAsia="宋体" w:cs="Times New Roman"/>
              <w:bCs/>
              <w:kern w:val="44"/>
              <w:szCs w:val="44"/>
            </w:rPr>
            <w:fldChar w:fldCharType="begin"/>
          </w:r>
          <w:r>
            <w:rPr>
              <w:rFonts w:hint="eastAsia" w:ascii="Calibri" w:hAnsi="Calibri" w:eastAsia="宋体" w:cs="Times New Roman"/>
              <w:bCs/>
              <w:kern w:val="44"/>
              <w:szCs w:val="44"/>
            </w:rPr>
            <w:instrText xml:space="preserve"> HYPERLINK \l _Toc5925 </w:instrText>
          </w:r>
          <w:r>
            <w:rPr>
              <w:rFonts w:hint="eastAsia" w:ascii="Calibri" w:hAnsi="Calibri" w:eastAsia="宋体" w:cs="Times New Roman"/>
              <w:bCs/>
              <w:kern w:val="44"/>
              <w:szCs w:val="44"/>
            </w:rPr>
            <w:fldChar w:fldCharType="separate"/>
          </w:r>
          <w:r>
            <w:rPr>
              <w:rFonts w:hint="eastAsia"/>
            </w:rPr>
            <w:t>第</w:t>
          </w:r>
          <w:r>
            <w:rPr>
              <w:rFonts w:hint="eastAsia"/>
              <w:lang w:val="en-US" w:eastAsia="zh-CN"/>
            </w:rPr>
            <w:t>三</w:t>
          </w:r>
          <w:r>
            <w:rPr>
              <w:rFonts w:hint="eastAsia"/>
            </w:rPr>
            <w:t>部分　</w:t>
          </w:r>
          <w:r>
            <w:rPr>
              <w:rFonts w:hint="eastAsia"/>
              <w:lang w:val="en-US" w:eastAsia="zh-CN"/>
            </w:rPr>
            <w:t>投标文件附件</w:t>
          </w:r>
          <w:r>
            <w:tab/>
          </w:r>
          <w:r>
            <w:fldChar w:fldCharType="begin"/>
          </w:r>
          <w:r>
            <w:instrText xml:space="preserve"> PAGEREF _Toc5925 \h </w:instrText>
          </w:r>
          <w:r>
            <w:fldChar w:fldCharType="separate"/>
          </w:r>
          <w:r>
            <w:t>- 9 -</w:t>
          </w:r>
          <w:r>
            <w:fldChar w:fldCharType="end"/>
          </w:r>
          <w:r>
            <w:rPr>
              <w:rFonts w:hint="eastAsia" w:ascii="Calibri" w:hAnsi="Calibri" w:eastAsia="宋体" w:cs="Times New Roman"/>
              <w:bCs/>
              <w:kern w:val="44"/>
              <w:szCs w:val="44"/>
            </w:rPr>
            <w:fldChar w:fldCharType="end"/>
          </w:r>
        </w:p>
        <w:p w14:paraId="6617A57C">
          <w:pPr>
            <w:pStyle w:val="21"/>
          </w:pPr>
          <w:r>
            <w:rPr>
              <w:rFonts w:hint="eastAsia" w:ascii="Calibri" w:hAnsi="Calibri" w:eastAsia="宋体" w:cs="Times New Roman"/>
              <w:bCs/>
              <w:kern w:val="44"/>
              <w:szCs w:val="44"/>
            </w:rPr>
            <w:fldChar w:fldCharType="end"/>
          </w:r>
        </w:p>
      </w:sdtContent>
    </w:sdt>
    <w:p w14:paraId="582BF911">
      <w:pPr>
        <w:pStyle w:val="15"/>
        <w:tabs>
          <w:tab w:val="left" w:pos="2940"/>
        </w:tabs>
        <w:spacing w:line="360" w:lineRule="auto"/>
        <w:jc w:val="center"/>
        <w:rPr>
          <w:rFonts w:hint="default" w:eastAsia="宋体"/>
          <w:sz w:val="32"/>
          <w:szCs w:val="28"/>
          <w:lang w:val="en-US" w:eastAsia="zh-CN"/>
        </w:rPr>
      </w:pPr>
      <w:r>
        <w:rPr>
          <w:rFonts w:hint="eastAsia"/>
          <w:sz w:val="32"/>
          <w:szCs w:val="28"/>
          <w:highlight w:val="yellow"/>
          <w:lang w:val="en-US" w:eastAsia="zh-CN"/>
        </w:rPr>
        <w:t>项目图纸附件可参考</w:t>
      </w:r>
    </w:p>
    <w:p w14:paraId="29FEE1FC">
      <w:pPr>
        <w:pStyle w:val="15"/>
        <w:spacing w:line="360" w:lineRule="auto"/>
        <w:jc w:val="center"/>
        <w:rPr>
          <w:rFonts w:hint="eastAsia" w:eastAsia="宋体"/>
          <w:lang w:eastAsia="zh-CN"/>
        </w:rPr>
      </w:pPr>
    </w:p>
    <w:p w14:paraId="56A3C681">
      <w:pPr>
        <w:pStyle w:val="15"/>
        <w:spacing w:line="360" w:lineRule="auto"/>
        <w:jc w:val="center"/>
      </w:pPr>
      <w:r>
        <w:rPr>
          <w:rFonts w:hint="eastAsia" w:eastAsia="宋体"/>
          <w:lang w:eastAsia="zh-CN"/>
        </w:rPr>
        <w:object>
          <v:shape id="_x0000_i1025" o:spt="75" type="#_x0000_t75" style="height:66pt;width:72.75pt;" o:ole="t" filled="f" o:preferrelative="t" stroked="f" coordsize="21600,21600">
            <v:path/>
            <v:fill on="f" focussize="0,0"/>
            <v:stroke on="f"/>
            <v:imagedata r:id="rId12" o:title=""/>
            <o:lock v:ext="edit" aspectratio="t"/>
            <w10:wrap type="none"/>
            <w10:anchorlock/>
          </v:shape>
          <o:OLEObject Type="Embed" ProgID="Acrobat.Document.DC" ShapeID="_x0000_i1025" DrawAspect="Icon" ObjectID="_1468075725" r:id="rId11">
            <o:LockedField>false</o:LockedField>
          </o:OLEObject>
        </w:object>
      </w:r>
    </w:p>
    <w:p w14:paraId="56B6AC64">
      <w:pPr>
        <w:pStyle w:val="15"/>
        <w:spacing w:line="360" w:lineRule="auto"/>
        <w:jc w:val="center"/>
        <w:rPr>
          <w:rFonts w:hint="eastAsia" w:eastAsia="宋体"/>
          <w:lang w:eastAsia="zh-CN"/>
        </w:rPr>
      </w:pPr>
    </w:p>
    <w:p w14:paraId="170E514E">
      <w:pPr>
        <w:pStyle w:val="15"/>
        <w:spacing w:line="360" w:lineRule="auto"/>
        <w:jc w:val="center"/>
        <w:rPr>
          <w:rFonts w:hint="eastAsia" w:eastAsia="宋体"/>
          <w:lang w:eastAsia="zh-CN"/>
        </w:rPr>
      </w:pPr>
    </w:p>
    <w:p w14:paraId="7FCE9020">
      <w:pPr>
        <w:pStyle w:val="15"/>
        <w:spacing w:line="360" w:lineRule="auto"/>
        <w:jc w:val="center"/>
        <w:rPr>
          <w:rFonts w:hint="eastAsia" w:eastAsia="宋体"/>
          <w:lang w:eastAsia="zh-CN"/>
        </w:rPr>
      </w:pPr>
    </w:p>
    <w:p w14:paraId="405A9441">
      <w:pPr>
        <w:pStyle w:val="15"/>
        <w:spacing w:line="360" w:lineRule="auto"/>
        <w:jc w:val="center"/>
        <w:rPr>
          <w:rFonts w:hint="eastAsia" w:eastAsia="宋体"/>
          <w:lang w:eastAsia="zh-CN"/>
        </w:rPr>
      </w:pPr>
    </w:p>
    <w:p w14:paraId="2F0E0DA3">
      <w:pPr>
        <w:pStyle w:val="15"/>
        <w:spacing w:line="360" w:lineRule="auto"/>
        <w:jc w:val="center"/>
        <w:rPr>
          <w:rFonts w:hint="eastAsia" w:eastAsia="宋体"/>
          <w:lang w:eastAsia="zh-CN"/>
        </w:rPr>
      </w:pPr>
    </w:p>
    <w:p w14:paraId="7CF0BD15">
      <w:pPr>
        <w:pStyle w:val="15"/>
        <w:spacing w:line="360" w:lineRule="auto"/>
        <w:jc w:val="center"/>
        <w:rPr>
          <w:rFonts w:hint="eastAsia" w:eastAsia="宋体"/>
          <w:lang w:eastAsia="zh-CN"/>
        </w:rPr>
      </w:pPr>
    </w:p>
    <w:p w14:paraId="6055C3A3">
      <w:pPr>
        <w:pStyle w:val="15"/>
        <w:spacing w:line="360" w:lineRule="auto"/>
        <w:jc w:val="center"/>
        <w:rPr>
          <w:rFonts w:hint="eastAsia" w:eastAsia="宋体"/>
          <w:lang w:eastAsia="zh-CN"/>
        </w:rPr>
      </w:pPr>
    </w:p>
    <w:p w14:paraId="13FBA5DC">
      <w:pPr>
        <w:pStyle w:val="15"/>
        <w:spacing w:line="360" w:lineRule="auto"/>
        <w:jc w:val="center"/>
        <w:rPr>
          <w:rFonts w:hint="eastAsia" w:eastAsia="宋体"/>
          <w:lang w:eastAsia="zh-CN"/>
        </w:rPr>
        <w:sectPr>
          <w:pgSz w:w="11906" w:h="16838"/>
          <w:pgMar w:top="1701" w:right="1418" w:bottom="1134" w:left="1418" w:header="851" w:footer="992" w:gutter="0"/>
          <w:pgNumType w:fmt="numberInDash" w:start="1"/>
          <w:cols w:space="720" w:num="1"/>
          <w:titlePg/>
          <w:docGrid w:type="lines" w:linePitch="312" w:charSpace="0"/>
        </w:sectPr>
      </w:pPr>
    </w:p>
    <w:p w14:paraId="0230EEDA">
      <w:pPr>
        <w:pStyle w:val="71"/>
      </w:pPr>
      <w:bookmarkStart w:id="0" w:name="_Toc47976587"/>
      <w:bookmarkStart w:id="1" w:name="_Toc7104"/>
      <w:r>
        <w:rPr>
          <w:rFonts w:hint="eastAsia"/>
        </w:rPr>
        <w:t>招标公告</w:t>
      </w:r>
      <w:bookmarkEnd w:id="0"/>
      <w:bookmarkEnd w:id="1"/>
    </w:p>
    <w:p w14:paraId="3B867C39">
      <w:pPr>
        <w:pStyle w:val="71"/>
        <w:rPr>
          <w:rFonts w:hint="eastAsia"/>
        </w:rPr>
      </w:pPr>
    </w:p>
    <w:p w14:paraId="2A47C58A">
      <w:pPr>
        <w:pStyle w:val="72"/>
      </w:pPr>
      <w:bookmarkStart w:id="2" w:name="_Toc47976588"/>
      <w:r>
        <w:rPr>
          <w:rFonts w:hint="eastAsia"/>
        </w:rPr>
        <w:t>项目名称及项目编号</w:t>
      </w:r>
      <w:bookmarkEnd w:id="2"/>
    </w:p>
    <w:p w14:paraId="1E71F649">
      <w:pPr>
        <w:pStyle w:val="73"/>
      </w:pPr>
      <w:r>
        <w:rPr>
          <w:rFonts w:hint="eastAsia"/>
        </w:rPr>
        <w:t>项目名称：</w:t>
      </w:r>
      <w:r>
        <w:rPr>
          <w:rFonts w:hint="eastAsia"/>
          <w:highlight w:val="yellow"/>
          <w:lang w:eastAsia="zh-CN"/>
        </w:rPr>
        <w:t>济南成型厂3906缸体工装修改项目</w:t>
      </w:r>
    </w:p>
    <w:p w14:paraId="15020D03">
      <w:pPr>
        <w:pStyle w:val="73"/>
      </w:pPr>
      <w:r>
        <w:rPr>
          <w:rFonts w:hint="eastAsia"/>
        </w:rPr>
        <w:t>项目编号：</w:t>
      </w:r>
    </w:p>
    <w:p w14:paraId="0AB9F24D">
      <w:pPr>
        <w:pStyle w:val="72"/>
      </w:pPr>
      <w:bookmarkStart w:id="3" w:name="_Toc47976589"/>
      <w:r>
        <w:rPr>
          <w:rFonts w:hint="eastAsia"/>
          <w:lang w:val="en-US" w:eastAsia="zh-CN"/>
        </w:rPr>
        <w:t>项目概况</w:t>
      </w:r>
      <w:r>
        <w:rPr>
          <w:rFonts w:hint="eastAsia"/>
        </w:rPr>
        <w:t>及招标形式</w:t>
      </w:r>
      <w:bookmarkEnd w:id="3"/>
    </w:p>
    <w:p w14:paraId="3279CEF6">
      <w:pPr>
        <w:pStyle w:val="73"/>
        <w:numPr>
          <w:ilvl w:val="0"/>
          <w:numId w:val="9"/>
        </w:numPr>
        <w:rPr>
          <w:rFonts w:hint="eastAsia"/>
          <w:highlight w:val="yellow"/>
        </w:rPr>
      </w:pPr>
      <w:r>
        <w:rPr>
          <w:rFonts w:hint="eastAsia"/>
          <w:highlight w:val="yellow"/>
        </w:rPr>
        <w:t>招标内容：</w:t>
      </w:r>
    </w:p>
    <w:p w14:paraId="2D8E2B90">
      <w:pPr>
        <w:keepNext w:val="0"/>
        <w:keepLines w:val="0"/>
        <w:widowControl/>
        <w:suppressLineNumbers w:val="0"/>
        <w:jc w:val="left"/>
        <w:rPr>
          <w:rFonts w:hint="eastAsia" w:eastAsia="宋体"/>
          <w:b w:val="0"/>
          <w:bCs/>
          <w:lang w:eastAsia="zh-CN"/>
        </w:rPr>
      </w:pPr>
      <w:r>
        <w:rPr>
          <w:rFonts w:hint="eastAsia"/>
          <w:b w:val="0"/>
          <w:bCs/>
          <w:lang w:eastAsia="zh-CN"/>
        </w:rPr>
        <w:t>济南成型厂3906缸体工装修改项目</w:t>
      </w:r>
      <w:r>
        <w:rPr>
          <w:rFonts w:hint="eastAsia"/>
          <w:b w:val="0"/>
          <w:bCs/>
        </w:rPr>
        <w:t>，</w:t>
      </w:r>
      <w:r>
        <w:rPr>
          <w:rFonts w:hint="eastAsia"/>
          <w:b w:val="0"/>
          <w:bCs/>
          <w:lang w:eastAsia="zh-CN"/>
        </w:rPr>
        <w:t>在 202-01101-3906 缸体上下箱面增减圆凸台。202-01101-3906 缸体上下模样工装，共需修改工装</w:t>
      </w:r>
      <w:r>
        <w:rPr>
          <w:rFonts w:hint="eastAsia"/>
          <w:b w:val="0"/>
          <w:bCs/>
          <w:lang w:val="en-US" w:eastAsia="zh-CN"/>
        </w:rPr>
        <w:t>2</w:t>
      </w:r>
      <w:r>
        <w:rPr>
          <w:rFonts w:hint="eastAsia"/>
          <w:b w:val="0"/>
          <w:bCs/>
          <w:lang w:eastAsia="zh-CN"/>
        </w:rPr>
        <w:t>套。</w:t>
      </w:r>
      <w:r>
        <w:rPr>
          <w:rFonts w:hint="eastAsia"/>
          <w:b w:val="0"/>
          <w:bCs/>
          <w:lang w:eastAsia="zh-CN"/>
        </w:rPr>
        <w:br w:type="textWrapping"/>
      </w:r>
    </w:p>
    <w:tbl>
      <w:tblPr>
        <w:tblStyle w:val="116"/>
        <w:tblW w:w="5014" w:type="pct"/>
        <w:tblInd w:w="0"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autofit"/>
        <w:tblCellMar>
          <w:top w:w="0" w:type="dxa"/>
          <w:left w:w="0" w:type="dxa"/>
          <w:bottom w:w="0" w:type="dxa"/>
          <w:right w:w="0" w:type="dxa"/>
        </w:tblCellMar>
      </w:tblPr>
      <w:tblGrid>
        <w:gridCol w:w="886"/>
        <w:gridCol w:w="1840"/>
        <w:gridCol w:w="1229"/>
        <w:gridCol w:w="1048"/>
        <w:gridCol w:w="1223"/>
        <w:gridCol w:w="2885"/>
      </w:tblGrid>
      <w:tr w14:paraId="60EB8EC3">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844" w:hRule="atLeast"/>
        </w:trPr>
        <w:tc>
          <w:tcPr>
            <w:tcW w:w="486" w:type="pct"/>
            <w:vAlign w:val="center"/>
          </w:tcPr>
          <w:p w14:paraId="15E7EA5F">
            <w:pPr>
              <w:keepNext w:val="0"/>
              <w:keepLines w:val="0"/>
              <w:widowControl/>
              <w:suppressLineNumbers w:val="0"/>
              <w:jc w:val="center"/>
              <w:rPr>
                <w:rFonts w:hint="default" w:ascii="Times New Roman" w:hAnsi="Times New Roman" w:eastAsia="宋体" w:cs="Times New Roman"/>
                <w:b w:val="0"/>
                <w:bCs/>
                <w:kern w:val="2"/>
                <w:sz w:val="21"/>
                <w:szCs w:val="20"/>
                <w:lang w:val="en-US" w:eastAsia="zh-CN" w:bidi="ar-SA"/>
              </w:rPr>
            </w:pPr>
            <w:r>
              <w:rPr>
                <w:rFonts w:hint="eastAsia" w:cs="Times New Roman"/>
                <w:b w:val="0"/>
                <w:bCs/>
                <w:kern w:val="2"/>
                <w:sz w:val="21"/>
                <w:szCs w:val="20"/>
                <w:lang w:val="en-US" w:eastAsia="zh-CN" w:bidi="ar-SA"/>
              </w:rPr>
              <w:t>序号</w:t>
            </w:r>
          </w:p>
        </w:tc>
        <w:tc>
          <w:tcPr>
            <w:tcW w:w="1009" w:type="pct"/>
            <w:vAlign w:val="center"/>
          </w:tcPr>
          <w:p w14:paraId="14572937">
            <w:pPr>
              <w:keepNext w:val="0"/>
              <w:keepLines w:val="0"/>
              <w:widowControl/>
              <w:suppressLineNumbers w:val="0"/>
              <w:jc w:val="center"/>
              <w:rPr>
                <w:rFonts w:hint="default" w:ascii="Times New Roman" w:hAnsi="Times New Roman" w:eastAsia="宋体" w:cs="Times New Roman"/>
                <w:b w:val="0"/>
                <w:bCs/>
                <w:kern w:val="2"/>
                <w:sz w:val="21"/>
                <w:szCs w:val="20"/>
                <w:lang w:val="en-US" w:eastAsia="zh-CN" w:bidi="ar-SA"/>
              </w:rPr>
            </w:pPr>
            <w:r>
              <w:rPr>
                <w:rFonts w:hint="eastAsia" w:cs="Times New Roman"/>
                <w:b w:val="0"/>
                <w:bCs/>
                <w:kern w:val="2"/>
                <w:sz w:val="21"/>
                <w:szCs w:val="20"/>
                <w:lang w:val="en-US" w:eastAsia="zh-CN" w:bidi="ar-SA"/>
              </w:rPr>
              <w:t>产品编号及名称</w:t>
            </w:r>
          </w:p>
        </w:tc>
        <w:tc>
          <w:tcPr>
            <w:tcW w:w="674" w:type="pct"/>
            <w:vAlign w:val="center"/>
          </w:tcPr>
          <w:p w14:paraId="701A52C9">
            <w:pPr>
              <w:keepNext w:val="0"/>
              <w:keepLines w:val="0"/>
              <w:widowControl/>
              <w:suppressLineNumbers w:val="0"/>
              <w:jc w:val="center"/>
              <w:rPr>
                <w:rFonts w:hint="default" w:ascii="Times New Roman" w:hAnsi="Times New Roman" w:eastAsia="宋体" w:cs="Times New Roman"/>
                <w:b w:val="0"/>
                <w:bCs/>
                <w:kern w:val="2"/>
                <w:sz w:val="21"/>
                <w:szCs w:val="20"/>
                <w:lang w:val="en-US" w:eastAsia="zh-CN" w:bidi="ar-SA"/>
              </w:rPr>
            </w:pPr>
            <w:r>
              <w:rPr>
                <w:rFonts w:hint="eastAsia" w:cs="Times New Roman"/>
                <w:b w:val="0"/>
                <w:bCs/>
                <w:kern w:val="2"/>
                <w:sz w:val="21"/>
                <w:szCs w:val="20"/>
                <w:lang w:val="en-US" w:eastAsia="zh-CN" w:bidi="ar-SA"/>
              </w:rPr>
              <w:t>工装名称</w:t>
            </w:r>
          </w:p>
        </w:tc>
        <w:tc>
          <w:tcPr>
            <w:tcW w:w="575" w:type="pct"/>
            <w:vAlign w:val="center"/>
          </w:tcPr>
          <w:p w14:paraId="4167D14D">
            <w:pPr>
              <w:keepNext w:val="0"/>
              <w:keepLines w:val="0"/>
              <w:widowControl/>
              <w:suppressLineNumbers w:val="0"/>
              <w:jc w:val="center"/>
              <w:rPr>
                <w:rFonts w:hint="default" w:ascii="Times New Roman" w:hAnsi="Times New Roman" w:eastAsia="宋体" w:cs="Times New Roman"/>
                <w:b w:val="0"/>
                <w:bCs/>
                <w:kern w:val="2"/>
                <w:sz w:val="21"/>
                <w:szCs w:val="20"/>
                <w:lang w:val="en-US" w:eastAsia="zh-CN" w:bidi="ar-SA"/>
              </w:rPr>
            </w:pPr>
            <w:r>
              <w:rPr>
                <w:rFonts w:hint="eastAsia" w:cs="Times New Roman"/>
                <w:b w:val="0"/>
                <w:bCs/>
                <w:kern w:val="2"/>
                <w:sz w:val="21"/>
                <w:szCs w:val="20"/>
                <w:lang w:val="en-US" w:eastAsia="zh-CN" w:bidi="ar-SA"/>
              </w:rPr>
              <w:t>数量</w:t>
            </w:r>
          </w:p>
        </w:tc>
        <w:tc>
          <w:tcPr>
            <w:tcW w:w="671" w:type="pct"/>
            <w:vAlign w:val="center"/>
          </w:tcPr>
          <w:p w14:paraId="23D5F223">
            <w:pPr>
              <w:keepNext w:val="0"/>
              <w:keepLines w:val="0"/>
              <w:widowControl/>
              <w:suppressLineNumbers w:val="0"/>
              <w:jc w:val="center"/>
              <w:rPr>
                <w:rFonts w:hint="default" w:cs="Times New Roman"/>
                <w:b w:val="0"/>
                <w:bCs/>
                <w:kern w:val="2"/>
                <w:sz w:val="21"/>
                <w:szCs w:val="20"/>
                <w:lang w:val="en-US" w:eastAsia="zh-CN" w:bidi="ar-SA"/>
              </w:rPr>
            </w:pPr>
            <w:r>
              <w:rPr>
                <w:rFonts w:hint="eastAsia" w:cs="Times New Roman"/>
                <w:b w:val="0"/>
                <w:bCs/>
                <w:kern w:val="2"/>
                <w:sz w:val="21"/>
                <w:szCs w:val="20"/>
                <w:lang w:val="en-US" w:eastAsia="zh-CN" w:bidi="ar-SA"/>
              </w:rPr>
              <w:t>单位</w:t>
            </w:r>
          </w:p>
        </w:tc>
        <w:tc>
          <w:tcPr>
            <w:tcW w:w="1582" w:type="pct"/>
            <w:tcBorders>
              <w:bottom w:val="nil"/>
            </w:tcBorders>
            <w:vAlign w:val="center"/>
          </w:tcPr>
          <w:p w14:paraId="0BF9D417">
            <w:pPr>
              <w:keepNext w:val="0"/>
              <w:keepLines w:val="0"/>
              <w:widowControl/>
              <w:suppressLineNumbers w:val="0"/>
              <w:jc w:val="center"/>
              <w:rPr>
                <w:rFonts w:hint="default" w:cs="Times New Roman"/>
                <w:b w:val="0"/>
                <w:bCs/>
                <w:kern w:val="2"/>
                <w:sz w:val="21"/>
                <w:szCs w:val="20"/>
                <w:lang w:val="en-US" w:eastAsia="zh-CN" w:bidi="ar-SA"/>
              </w:rPr>
            </w:pPr>
            <w:r>
              <w:rPr>
                <w:rFonts w:hint="eastAsia" w:cs="Times New Roman"/>
                <w:b w:val="0"/>
                <w:bCs/>
                <w:kern w:val="2"/>
                <w:sz w:val="21"/>
                <w:szCs w:val="20"/>
                <w:lang w:val="en-US" w:eastAsia="zh-CN" w:bidi="ar-SA"/>
              </w:rPr>
              <w:t>备注</w:t>
            </w:r>
          </w:p>
        </w:tc>
      </w:tr>
      <w:tr w14:paraId="1127155B">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1374" w:hRule="atLeast"/>
        </w:trPr>
        <w:tc>
          <w:tcPr>
            <w:tcW w:w="486" w:type="pct"/>
            <w:vAlign w:val="center"/>
          </w:tcPr>
          <w:p w14:paraId="52116751">
            <w:pPr>
              <w:keepNext w:val="0"/>
              <w:keepLines w:val="0"/>
              <w:widowControl/>
              <w:suppressLineNumbers w:val="0"/>
              <w:jc w:val="center"/>
              <w:rPr>
                <w:rFonts w:hint="eastAsia" w:ascii="Times New Roman" w:hAnsi="Times New Roman" w:eastAsia="宋体" w:cs="Times New Roman"/>
                <w:b w:val="0"/>
                <w:bCs/>
                <w:kern w:val="2"/>
                <w:sz w:val="21"/>
                <w:szCs w:val="20"/>
                <w:lang w:val="en-US" w:eastAsia="zh-CN" w:bidi="ar-SA"/>
              </w:rPr>
            </w:pPr>
          </w:p>
          <w:p w14:paraId="0539C38F">
            <w:pPr>
              <w:keepNext w:val="0"/>
              <w:keepLines w:val="0"/>
              <w:widowControl/>
              <w:suppressLineNumbers w:val="0"/>
              <w:jc w:val="center"/>
              <w:rPr>
                <w:rFonts w:hint="eastAsia" w:ascii="Times New Roman" w:hAnsi="Times New Roman" w:eastAsia="宋体" w:cs="Times New Roman"/>
                <w:b w:val="0"/>
                <w:bCs/>
                <w:kern w:val="2"/>
                <w:sz w:val="21"/>
                <w:szCs w:val="20"/>
                <w:lang w:val="en-US" w:eastAsia="zh-CN" w:bidi="ar-SA"/>
              </w:rPr>
            </w:pPr>
          </w:p>
          <w:p w14:paraId="686FEFF0">
            <w:pPr>
              <w:keepNext w:val="0"/>
              <w:keepLines w:val="0"/>
              <w:widowControl/>
              <w:suppressLineNumbers w:val="0"/>
              <w:jc w:val="center"/>
              <w:rPr>
                <w:rFonts w:hint="eastAsia" w:ascii="Times New Roman" w:hAnsi="Times New Roman" w:eastAsia="宋体" w:cs="Times New Roman"/>
                <w:b w:val="0"/>
                <w:bCs/>
                <w:kern w:val="2"/>
                <w:sz w:val="21"/>
                <w:szCs w:val="20"/>
                <w:lang w:val="en-US" w:eastAsia="zh-CN" w:bidi="ar-SA"/>
              </w:rPr>
            </w:pPr>
            <w:r>
              <w:rPr>
                <w:rFonts w:hint="eastAsia" w:ascii="Times New Roman" w:hAnsi="Times New Roman" w:eastAsia="宋体" w:cs="Times New Roman"/>
                <w:b w:val="0"/>
                <w:bCs/>
                <w:kern w:val="2"/>
                <w:sz w:val="21"/>
                <w:szCs w:val="20"/>
                <w:lang w:val="en-US" w:eastAsia="zh-CN" w:bidi="ar-SA"/>
              </w:rPr>
              <w:t>1</w:t>
            </w:r>
          </w:p>
        </w:tc>
        <w:tc>
          <w:tcPr>
            <w:tcW w:w="1009" w:type="pct"/>
            <w:vAlign w:val="center"/>
          </w:tcPr>
          <w:p w14:paraId="49E879DC">
            <w:pPr>
              <w:keepNext w:val="0"/>
              <w:keepLines w:val="0"/>
              <w:widowControl/>
              <w:suppressLineNumbers w:val="0"/>
              <w:jc w:val="center"/>
              <w:rPr>
                <w:rFonts w:hint="eastAsia" w:ascii="Times New Roman" w:hAnsi="Times New Roman" w:eastAsia="宋体" w:cs="Times New Roman"/>
                <w:b w:val="0"/>
                <w:bCs/>
                <w:kern w:val="2"/>
                <w:sz w:val="21"/>
                <w:szCs w:val="20"/>
                <w:lang w:val="en-US" w:eastAsia="zh-CN" w:bidi="ar-SA"/>
              </w:rPr>
            </w:pPr>
          </w:p>
          <w:p w14:paraId="581E2767">
            <w:pPr>
              <w:keepNext w:val="0"/>
              <w:keepLines w:val="0"/>
              <w:widowControl/>
              <w:suppressLineNumbers w:val="0"/>
              <w:jc w:val="center"/>
              <w:rPr>
                <w:rFonts w:hint="eastAsia" w:ascii="Times New Roman" w:hAnsi="Times New Roman" w:eastAsia="宋体" w:cs="Times New Roman"/>
                <w:b w:val="0"/>
                <w:bCs/>
                <w:kern w:val="2"/>
                <w:sz w:val="21"/>
                <w:szCs w:val="20"/>
                <w:lang w:val="en-US" w:eastAsia="zh-CN" w:bidi="ar-SA"/>
              </w:rPr>
            </w:pPr>
            <w:r>
              <w:rPr>
                <w:rFonts w:hint="eastAsia" w:ascii="Times New Roman" w:hAnsi="Times New Roman" w:eastAsia="宋体" w:cs="Times New Roman"/>
                <w:b w:val="0"/>
                <w:bCs/>
                <w:kern w:val="2"/>
                <w:sz w:val="21"/>
                <w:szCs w:val="20"/>
                <w:lang w:val="en-US" w:eastAsia="zh-CN" w:bidi="ar-SA"/>
              </w:rPr>
              <w:t>202-01101-3906</w:t>
            </w:r>
          </w:p>
          <w:p w14:paraId="340AAFEA">
            <w:pPr>
              <w:keepNext w:val="0"/>
              <w:keepLines w:val="0"/>
              <w:widowControl/>
              <w:suppressLineNumbers w:val="0"/>
              <w:jc w:val="center"/>
              <w:rPr>
                <w:rFonts w:hint="eastAsia" w:ascii="Times New Roman" w:hAnsi="Times New Roman" w:eastAsia="宋体" w:cs="Times New Roman"/>
                <w:b w:val="0"/>
                <w:bCs/>
                <w:kern w:val="2"/>
                <w:sz w:val="21"/>
                <w:szCs w:val="20"/>
                <w:lang w:val="en-US" w:eastAsia="zh-CN" w:bidi="ar-SA"/>
              </w:rPr>
            </w:pPr>
            <w:r>
              <w:rPr>
                <w:rFonts w:hint="eastAsia" w:ascii="Times New Roman" w:hAnsi="Times New Roman" w:eastAsia="宋体" w:cs="Times New Roman"/>
                <w:b w:val="0"/>
                <w:bCs/>
                <w:kern w:val="2"/>
                <w:sz w:val="21"/>
                <w:szCs w:val="20"/>
                <w:lang w:val="en-US" w:eastAsia="zh-CN" w:bidi="ar-SA"/>
              </w:rPr>
              <w:t>MC/MT13H 缸体</w:t>
            </w:r>
          </w:p>
        </w:tc>
        <w:tc>
          <w:tcPr>
            <w:tcW w:w="674" w:type="pct"/>
            <w:vAlign w:val="center"/>
          </w:tcPr>
          <w:p w14:paraId="28861E9D">
            <w:pPr>
              <w:keepNext w:val="0"/>
              <w:keepLines w:val="0"/>
              <w:widowControl/>
              <w:suppressLineNumbers w:val="0"/>
              <w:jc w:val="center"/>
              <w:rPr>
                <w:rFonts w:hint="eastAsia" w:ascii="Times New Roman" w:hAnsi="Times New Roman" w:eastAsia="宋体" w:cs="Times New Roman"/>
                <w:b w:val="0"/>
                <w:bCs/>
                <w:kern w:val="2"/>
                <w:sz w:val="21"/>
                <w:szCs w:val="20"/>
                <w:lang w:val="en-US" w:eastAsia="zh-CN" w:bidi="ar-SA"/>
              </w:rPr>
            </w:pPr>
          </w:p>
          <w:p w14:paraId="10AFA10A">
            <w:pPr>
              <w:keepNext w:val="0"/>
              <w:keepLines w:val="0"/>
              <w:widowControl/>
              <w:suppressLineNumbers w:val="0"/>
              <w:jc w:val="center"/>
              <w:rPr>
                <w:rFonts w:hint="eastAsia" w:ascii="Times New Roman" w:hAnsi="Times New Roman" w:eastAsia="宋体" w:cs="Times New Roman"/>
                <w:b w:val="0"/>
                <w:bCs/>
                <w:kern w:val="2"/>
                <w:sz w:val="21"/>
                <w:szCs w:val="20"/>
                <w:lang w:val="en-US" w:eastAsia="zh-CN" w:bidi="ar-SA"/>
              </w:rPr>
            </w:pPr>
            <w:r>
              <w:rPr>
                <w:rFonts w:hint="eastAsia" w:ascii="Times New Roman" w:hAnsi="Times New Roman" w:eastAsia="宋体" w:cs="Times New Roman"/>
                <w:b w:val="0"/>
                <w:bCs/>
                <w:kern w:val="2"/>
                <w:sz w:val="21"/>
                <w:szCs w:val="20"/>
                <w:lang w:val="en-US" w:eastAsia="zh-CN" w:bidi="ar-SA"/>
              </w:rPr>
              <w:t>上下模样（第一套）</w:t>
            </w:r>
          </w:p>
        </w:tc>
        <w:tc>
          <w:tcPr>
            <w:tcW w:w="575" w:type="pct"/>
            <w:vAlign w:val="center"/>
          </w:tcPr>
          <w:p w14:paraId="43CD4D0C">
            <w:pPr>
              <w:keepNext w:val="0"/>
              <w:keepLines w:val="0"/>
              <w:widowControl/>
              <w:suppressLineNumbers w:val="0"/>
              <w:jc w:val="center"/>
              <w:rPr>
                <w:rFonts w:hint="eastAsia" w:ascii="Times New Roman" w:hAnsi="Times New Roman" w:eastAsia="宋体" w:cs="Times New Roman"/>
                <w:b w:val="0"/>
                <w:bCs/>
                <w:kern w:val="2"/>
                <w:sz w:val="21"/>
                <w:szCs w:val="20"/>
                <w:lang w:val="en-US" w:eastAsia="zh-CN" w:bidi="ar-SA"/>
              </w:rPr>
            </w:pPr>
          </w:p>
          <w:p w14:paraId="72EC7391">
            <w:pPr>
              <w:keepNext w:val="0"/>
              <w:keepLines w:val="0"/>
              <w:widowControl/>
              <w:suppressLineNumbers w:val="0"/>
              <w:jc w:val="center"/>
              <w:rPr>
                <w:rFonts w:hint="eastAsia" w:ascii="Times New Roman" w:hAnsi="Times New Roman" w:eastAsia="宋体" w:cs="Times New Roman"/>
                <w:b w:val="0"/>
                <w:bCs/>
                <w:kern w:val="2"/>
                <w:sz w:val="21"/>
                <w:szCs w:val="20"/>
                <w:lang w:val="en-US" w:eastAsia="zh-CN" w:bidi="ar-SA"/>
              </w:rPr>
            </w:pPr>
          </w:p>
          <w:p w14:paraId="2A33B803">
            <w:pPr>
              <w:keepNext w:val="0"/>
              <w:keepLines w:val="0"/>
              <w:widowControl/>
              <w:suppressLineNumbers w:val="0"/>
              <w:jc w:val="center"/>
              <w:rPr>
                <w:rFonts w:hint="eastAsia" w:ascii="Times New Roman" w:hAnsi="Times New Roman" w:eastAsia="宋体" w:cs="Times New Roman"/>
                <w:b w:val="0"/>
                <w:bCs/>
                <w:kern w:val="2"/>
                <w:sz w:val="21"/>
                <w:szCs w:val="20"/>
                <w:lang w:val="en-US" w:eastAsia="zh-CN" w:bidi="ar-SA"/>
              </w:rPr>
            </w:pPr>
            <w:r>
              <w:rPr>
                <w:rFonts w:hint="eastAsia" w:ascii="Times New Roman" w:hAnsi="Times New Roman" w:eastAsia="宋体" w:cs="Times New Roman"/>
                <w:b w:val="0"/>
                <w:bCs/>
                <w:kern w:val="2"/>
                <w:sz w:val="21"/>
                <w:szCs w:val="20"/>
                <w:lang w:val="en-US" w:eastAsia="zh-CN" w:bidi="ar-SA"/>
              </w:rPr>
              <w:t>1</w:t>
            </w:r>
          </w:p>
        </w:tc>
        <w:tc>
          <w:tcPr>
            <w:tcW w:w="671" w:type="pct"/>
            <w:vAlign w:val="center"/>
          </w:tcPr>
          <w:p w14:paraId="035B0525">
            <w:pPr>
              <w:keepNext w:val="0"/>
              <w:keepLines w:val="0"/>
              <w:widowControl/>
              <w:suppressLineNumbers w:val="0"/>
              <w:jc w:val="center"/>
              <w:rPr>
                <w:rFonts w:hint="eastAsia" w:ascii="Times New Roman" w:hAnsi="Times New Roman" w:eastAsia="宋体" w:cs="Times New Roman"/>
                <w:b w:val="0"/>
                <w:bCs/>
                <w:kern w:val="2"/>
                <w:sz w:val="21"/>
                <w:szCs w:val="20"/>
                <w:lang w:val="en-US" w:eastAsia="zh-CN" w:bidi="ar-SA"/>
              </w:rPr>
            </w:pPr>
          </w:p>
          <w:p w14:paraId="7E1E3533">
            <w:pPr>
              <w:keepNext w:val="0"/>
              <w:keepLines w:val="0"/>
              <w:widowControl/>
              <w:suppressLineNumbers w:val="0"/>
              <w:jc w:val="center"/>
              <w:rPr>
                <w:rFonts w:hint="eastAsia" w:ascii="Times New Roman" w:hAnsi="Times New Roman" w:eastAsia="宋体" w:cs="Times New Roman"/>
                <w:b w:val="0"/>
                <w:bCs/>
                <w:kern w:val="2"/>
                <w:sz w:val="21"/>
                <w:szCs w:val="20"/>
                <w:lang w:val="en-US" w:eastAsia="zh-CN" w:bidi="ar-SA"/>
              </w:rPr>
            </w:pPr>
          </w:p>
          <w:p w14:paraId="0BE6697B">
            <w:pPr>
              <w:keepNext w:val="0"/>
              <w:keepLines w:val="0"/>
              <w:widowControl/>
              <w:suppressLineNumbers w:val="0"/>
              <w:jc w:val="center"/>
              <w:rPr>
                <w:rFonts w:hint="eastAsia" w:ascii="Times New Roman" w:hAnsi="Times New Roman" w:eastAsia="宋体" w:cs="Times New Roman"/>
                <w:b w:val="0"/>
                <w:bCs/>
                <w:kern w:val="2"/>
                <w:sz w:val="21"/>
                <w:szCs w:val="20"/>
                <w:lang w:val="en-US" w:eastAsia="zh-CN" w:bidi="ar-SA"/>
              </w:rPr>
            </w:pPr>
            <w:r>
              <w:rPr>
                <w:rFonts w:hint="eastAsia" w:ascii="Times New Roman" w:hAnsi="Times New Roman" w:eastAsia="宋体" w:cs="Times New Roman"/>
                <w:b w:val="0"/>
                <w:bCs/>
                <w:kern w:val="2"/>
                <w:sz w:val="21"/>
                <w:szCs w:val="20"/>
                <w:lang w:val="en-US" w:eastAsia="zh-CN" w:bidi="ar-SA"/>
              </w:rPr>
              <w:t>套</w:t>
            </w:r>
          </w:p>
        </w:tc>
        <w:tc>
          <w:tcPr>
            <w:tcW w:w="1582" w:type="pct"/>
            <w:vMerge w:val="restart"/>
            <w:tcBorders>
              <w:bottom w:val="nil"/>
            </w:tcBorders>
            <w:vAlign w:val="top"/>
          </w:tcPr>
          <w:p w14:paraId="70D4CE56">
            <w:pPr>
              <w:keepNext w:val="0"/>
              <w:keepLines w:val="0"/>
              <w:widowControl/>
              <w:suppressLineNumbers w:val="0"/>
              <w:jc w:val="left"/>
              <w:rPr>
                <w:rFonts w:hint="eastAsia"/>
                <w:b w:val="0"/>
                <w:bCs/>
                <w:lang w:eastAsia="zh-CN"/>
              </w:rPr>
            </w:pPr>
          </w:p>
          <w:p w14:paraId="6E970F6D">
            <w:pPr>
              <w:keepNext w:val="0"/>
              <w:keepLines w:val="0"/>
              <w:widowControl/>
              <w:suppressLineNumbers w:val="0"/>
              <w:jc w:val="left"/>
              <w:rPr>
                <w:rFonts w:hint="eastAsia"/>
                <w:b w:val="0"/>
                <w:bCs/>
                <w:lang w:eastAsia="zh-CN"/>
              </w:rPr>
            </w:pPr>
          </w:p>
          <w:p w14:paraId="7111F8C0">
            <w:pPr>
              <w:keepNext w:val="0"/>
              <w:keepLines w:val="0"/>
              <w:widowControl/>
              <w:suppressLineNumbers w:val="0"/>
              <w:jc w:val="left"/>
              <w:rPr>
                <w:rFonts w:hint="eastAsia"/>
                <w:b w:val="0"/>
                <w:bCs/>
                <w:lang w:eastAsia="zh-CN"/>
              </w:rPr>
            </w:pPr>
          </w:p>
          <w:p w14:paraId="3044E1C3">
            <w:pPr>
              <w:keepNext w:val="0"/>
              <w:keepLines w:val="0"/>
              <w:widowControl/>
              <w:suppressLineNumbers w:val="0"/>
              <w:jc w:val="left"/>
              <w:rPr>
                <w:rFonts w:hint="eastAsia"/>
                <w:b w:val="0"/>
                <w:bCs/>
                <w:lang w:eastAsia="zh-CN"/>
              </w:rPr>
            </w:pPr>
            <w:r>
              <w:rPr>
                <w:rFonts w:hint="eastAsia"/>
                <w:b w:val="0"/>
                <w:bCs/>
                <w:lang w:eastAsia="zh-CN"/>
              </w:rPr>
              <w:t>铸造一部用，根据工艺工程部</w:t>
            </w:r>
          </w:p>
          <w:p w14:paraId="4D627150">
            <w:pPr>
              <w:keepNext w:val="0"/>
              <w:keepLines w:val="0"/>
              <w:widowControl/>
              <w:suppressLineNumbers w:val="0"/>
              <w:jc w:val="left"/>
              <w:rPr>
                <w:rFonts w:hint="eastAsia"/>
                <w:b w:val="0"/>
                <w:bCs/>
                <w:lang w:eastAsia="zh-CN"/>
              </w:rPr>
            </w:pPr>
            <w:r>
              <w:rPr>
                <w:rFonts w:hint="eastAsia"/>
                <w:b w:val="0"/>
                <w:bCs/>
                <w:lang w:eastAsia="zh-CN"/>
              </w:rPr>
              <w:t>SQBG14B20261122001 过程变更申请修改，满足客户对于 MT13型发动机装配的需求。</w:t>
            </w:r>
          </w:p>
        </w:tc>
      </w:tr>
      <w:tr w14:paraId="3E84A098">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1457" w:hRule="atLeast"/>
        </w:trPr>
        <w:tc>
          <w:tcPr>
            <w:tcW w:w="486" w:type="pct"/>
            <w:vAlign w:val="center"/>
          </w:tcPr>
          <w:p w14:paraId="29F1D380">
            <w:pPr>
              <w:keepNext w:val="0"/>
              <w:keepLines w:val="0"/>
              <w:widowControl/>
              <w:suppressLineNumbers w:val="0"/>
              <w:jc w:val="center"/>
              <w:rPr>
                <w:rFonts w:hint="eastAsia" w:ascii="Times New Roman" w:hAnsi="Times New Roman" w:eastAsia="宋体" w:cs="Times New Roman"/>
                <w:b w:val="0"/>
                <w:bCs/>
                <w:kern w:val="2"/>
                <w:sz w:val="21"/>
                <w:szCs w:val="20"/>
                <w:lang w:val="en-US" w:eastAsia="zh-CN" w:bidi="ar-SA"/>
              </w:rPr>
            </w:pPr>
          </w:p>
          <w:p w14:paraId="1BA5D8F6">
            <w:pPr>
              <w:keepNext w:val="0"/>
              <w:keepLines w:val="0"/>
              <w:widowControl/>
              <w:suppressLineNumbers w:val="0"/>
              <w:jc w:val="center"/>
              <w:rPr>
                <w:rFonts w:hint="eastAsia" w:ascii="Times New Roman" w:hAnsi="Times New Roman" w:eastAsia="宋体" w:cs="Times New Roman"/>
                <w:b w:val="0"/>
                <w:bCs/>
                <w:kern w:val="2"/>
                <w:sz w:val="21"/>
                <w:szCs w:val="20"/>
                <w:lang w:val="en-US" w:eastAsia="zh-CN" w:bidi="ar-SA"/>
              </w:rPr>
            </w:pPr>
          </w:p>
          <w:p w14:paraId="271519EA">
            <w:pPr>
              <w:keepNext w:val="0"/>
              <w:keepLines w:val="0"/>
              <w:widowControl/>
              <w:suppressLineNumbers w:val="0"/>
              <w:jc w:val="center"/>
              <w:rPr>
                <w:rFonts w:hint="eastAsia" w:ascii="Times New Roman" w:hAnsi="Times New Roman" w:eastAsia="宋体" w:cs="Times New Roman"/>
                <w:b w:val="0"/>
                <w:bCs/>
                <w:kern w:val="2"/>
                <w:sz w:val="21"/>
                <w:szCs w:val="20"/>
                <w:lang w:val="en-US" w:eastAsia="zh-CN" w:bidi="ar-SA"/>
              </w:rPr>
            </w:pPr>
            <w:r>
              <w:rPr>
                <w:rFonts w:hint="eastAsia" w:ascii="Times New Roman" w:hAnsi="Times New Roman" w:eastAsia="宋体" w:cs="Times New Roman"/>
                <w:b w:val="0"/>
                <w:bCs/>
                <w:kern w:val="2"/>
                <w:sz w:val="21"/>
                <w:szCs w:val="20"/>
                <w:lang w:val="en-US" w:eastAsia="zh-CN" w:bidi="ar-SA"/>
              </w:rPr>
              <w:t>2</w:t>
            </w:r>
          </w:p>
        </w:tc>
        <w:tc>
          <w:tcPr>
            <w:tcW w:w="1009" w:type="pct"/>
            <w:vAlign w:val="center"/>
          </w:tcPr>
          <w:p w14:paraId="3409DC3A">
            <w:pPr>
              <w:keepNext w:val="0"/>
              <w:keepLines w:val="0"/>
              <w:widowControl/>
              <w:suppressLineNumbers w:val="0"/>
              <w:jc w:val="center"/>
              <w:rPr>
                <w:rFonts w:hint="eastAsia" w:ascii="Times New Roman" w:hAnsi="Times New Roman" w:eastAsia="宋体" w:cs="Times New Roman"/>
                <w:b w:val="0"/>
                <w:bCs/>
                <w:kern w:val="2"/>
                <w:sz w:val="21"/>
                <w:szCs w:val="20"/>
                <w:lang w:val="en-US" w:eastAsia="zh-CN" w:bidi="ar-SA"/>
              </w:rPr>
            </w:pPr>
          </w:p>
          <w:p w14:paraId="020E1A13">
            <w:pPr>
              <w:keepNext w:val="0"/>
              <w:keepLines w:val="0"/>
              <w:widowControl/>
              <w:suppressLineNumbers w:val="0"/>
              <w:jc w:val="center"/>
              <w:rPr>
                <w:rFonts w:hint="eastAsia" w:ascii="Times New Roman" w:hAnsi="Times New Roman" w:eastAsia="宋体" w:cs="Times New Roman"/>
                <w:b w:val="0"/>
                <w:bCs/>
                <w:kern w:val="2"/>
                <w:sz w:val="21"/>
                <w:szCs w:val="20"/>
                <w:lang w:val="en-US" w:eastAsia="zh-CN" w:bidi="ar-SA"/>
              </w:rPr>
            </w:pPr>
            <w:r>
              <w:rPr>
                <w:rFonts w:hint="eastAsia" w:ascii="Times New Roman" w:hAnsi="Times New Roman" w:eastAsia="宋体" w:cs="Times New Roman"/>
                <w:b w:val="0"/>
                <w:bCs/>
                <w:kern w:val="2"/>
                <w:sz w:val="21"/>
                <w:szCs w:val="20"/>
                <w:lang w:val="en-US" w:eastAsia="zh-CN" w:bidi="ar-SA"/>
              </w:rPr>
              <w:t>202-01101-3906</w:t>
            </w:r>
          </w:p>
          <w:p w14:paraId="0ED4FC07">
            <w:pPr>
              <w:keepNext w:val="0"/>
              <w:keepLines w:val="0"/>
              <w:widowControl/>
              <w:suppressLineNumbers w:val="0"/>
              <w:jc w:val="center"/>
              <w:rPr>
                <w:rFonts w:hint="eastAsia" w:ascii="Times New Roman" w:hAnsi="Times New Roman" w:eastAsia="宋体" w:cs="Times New Roman"/>
                <w:b w:val="0"/>
                <w:bCs/>
                <w:kern w:val="2"/>
                <w:sz w:val="21"/>
                <w:szCs w:val="20"/>
                <w:lang w:val="en-US" w:eastAsia="zh-CN" w:bidi="ar-SA"/>
              </w:rPr>
            </w:pPr>
            <w:r>
              <w:rPr>
                <w:rFonts w:hint="eastAsia" w:ascii="Times New Roman" w:hAnsi="Times New Roman" w:eastAsia="宋体" w:cs="Times New Roman"/>
                <w:b w:val="0"/>
                <w:bCs/>
                <w:kern w:val="2"/>
                <w:sz w:val="21"/>
                <w:szCs w:val="20"/>
                <w:lang w:val="en-US" w:eastAsia="zh-CN" w:bidi="ar-SA"/>
              </w:rPr>
              <w:t>MC/MT13H 缸体</w:t>
            </w:r>
          </w:p>
        </w:tc>
        <w:tc>
          <w:tcPr>
            <w:tcW w:w="674" w:type="pct"/>
            <w:vAlign w:val="center"/>
          </w:tcPr>
          <w:p w14:paraId="11993A99">
            <w:pPr>
              <w:keepNext w:val="0"/>
              <w:keepLines w:val="0"/>
              <w:widowControl/>
              <w:suppressLineNumbers w:val="0"/>
              <w:jc w:val="center"/>
              <w:rPr>
                <w:rFonts w:hint="eastAsia" w:ascii="Times New Roman" w:hAnsi="Times New Roman" w:eastAsia="宋体" w:cs="Times New Roman"/>
                <w:b w:val="0"/>
                <w:bCs/>
                <w:kern w:val="2"/>
                <w:sz w:val="21"/>
                <w:szCs w:val="20"/>
                <w:lang w:val="en-US" w:eastAsia="zh-CN" w:bidi="ar-SA"/>
              </w:rPr>
            </w:pPr>
          </w:p>
          <w:p w14:paraId="160E0F97">
            <w:pPr>
              <w:keepNext w:val="0"/>
              <w:keepLines w:val="0"/>
              <w:widowControl/>
              <w:suppressLineNumbers w:val="0"/>
              <w:jc w:val="center"/>
              <w:rPr>
                <w:rFonts w:hint="eastAsia" w:ascii="Times New Roman" w:hAnsi="Times New Roman" w:eastAsia="宋体" w:cs="Times New Roman"/>
                <w:b w:val="0"/>
                <w:bCs/>
                <w:kern w:val="2"/>
                <w:sz w:val="21"/>
                <w:szCs w:val="20"/>
                <w:lang w:val="en-US" w:eastAsia="zh-CN" w:bidi="ar-SA"/>
              </w:rPr>
            </w:pPr>
            <w:r>
              <w:rPr>
                <w:rFonts w:hint="eastAsia" w:ascii="Times New Roman" w:hAnsi="Times New Roman" w:eastAsia="宋体" w:cs="Times New Roman"/>
                <w:b w:val="0"/>
                <w:bCs/>
                <w:kern w:val="2"/>
                <w:sz w:val="21"/>
                <w:szCs w:val="20"/>
                <w:lang w:val="en-US" w:eastAsia="zh-CN" w:bidi="ar-SA"/>
              </w:rPr>
              <w:t>上下模样（第二套）</w:t>
            </w:r>
          </w:p>
        </w:tc>
        <w:tc>
          <w:tcPr>
            <w:tcW w:w="575" w:type="pct"/>
            <w:vAlign w:val="center"/>
          </w:tcPr>
          <w:p w14:paraId="523D802F">
            <w:pPr>
              <w:keepNext w:val="0"/>
              <w:keepLines w:val="0"/>
              <w:widowControl/>
              <w:suppressLineNumbers w:val="0"/>
              <w:jc w:val="center"/>
              <w:rPr>
                <w:rFonts w:hint="eastAsia" w:ascii="Times New Roman" w:hAnsi="Times New Roman" w:eastAsia="宋体" w:cs="Times New Roman"/>
                <w:b w:val="0"/>
                <w:bCs/>
                <w:kern w:val="2"/>
                <w:sz w:val="21"/>
                <w:szCs w:val="20"/>
                <w:lang w:val="en-US" w:eastAsia="zh-CN" w:bidi="ar-SA"/>
              </w:rPr>
            </w:pPr>
          </w:p>
          <w:p w14:paraId="17F262F2">
            <w:pPr>
              <w:keepNext w:val="0"/>
              <w:keepLines w:val="0"/>
              <w:widowControl/>
              <w:suppressLineNumbers w:val="0"/>
              <w:jc w:val="center"/>
              <w:rPr>
                <w:rFonts w:hint="eastAsia" w:ascii="Times New Roman" w:hAnsi="Times New Roman" w:eastAsia="宋体" w:cs="Times New Roman"/>
                <w:b w:val="0"/>
                <w:bCs/>
                <w:kern w:val="2"/>
                <w:sz w:val="21"/>
                <w:szCs w:val="20"/>
                <w:lang w:val="en-US" w:eastAsia="zh-CN" w:bidi="ar-SA"/>
              </w:rPr>
            </w:pPr>
          </w:p>
          <w:p w14:paraId="6864D838">
            <w:pPr>
              <w:keepNext w:val="0"/>
              <w:keepLines w:val="0"/>
              <w:widowControl/>
              <w:suppressLineNumbers w:val="0"/>
              <w:jc w:val="center"/>
              <w:rPr>
                <w:rFonts w:hint="eastAsia" w:ascii="Times New Roman" w:hAnsi="Times New Roman" w:eastAsia="宋体" w:cs="Times New Roman"/>
                <w:b w:val="0"/>
                <w:bCs/>
                <w:kern w:val="2"/>
                <w:sz w:val="21"/>
                <w:szCs w:val="20"/>
                <w:lang w:val="en-US" w:eastAsia="zh-CN" w:bidi="ar-SA"/>
              </w:rPr>
            </w:pPr>
            <w:r>
              <w:rPr>
                <w:rFonts w:hint="eastAsia" w:ascii="Times New Roman" w:hAnsi="Times New Roman" w:eastAsia="宋体" w:cs="Times New Roman"/>
                <w:b w:val="0"/>
                <w:bCs/>
                <w:kern w:val="2"/>
                <w:sz w:val="21"/>
                <w:szCs w:val="20"/>
                <w:lang w:val="en-US" w:eastAsia="zh-CN" w:bidi="ar-SA"/>
              </w:rPr>
              <w:t>1</w:t>
            </w:r>
          </w:p>
        </w:tc>
        <w:tc>
          <w:tcPr>
            <w:tcW w:w="671" w:type="pct"/>
            <w:vAlign w:val="center"/>
          </w:tcPr>
          <w:p w14:paraId="31974779">
            <w:pPr>
              <w:keepNext w:val="0"/>
              <w:keepLines w:val="0"/>
              <w:widowControl/>
              <w:suppressLineNumbers w:val="0"/>
              <w:jc w:val="center"/>
              <w:rPr>
                <w:rFonts w:hint="eastAsia" w:ascii="Times New Roman" w:hAnsi="Times New Roman" w:eastAsia="宋体" w:cs="Times New Roman"/>
                <w:b w:val="0"/>
                <w:bCs/>
                <w:kern w:val="2"/>
                <w:sz w:val="21"/>
                <w:szCs w:val="20"/>
                <w:lang w:val="en-US" w:eastAsia="zh-CN" w:bidi="ar-SA"/>
              </w:rPr>
            </w:pPr>
          </w:p>
          <w:p w14:paraId="40049001">
            <w:pPr>
              <w:keepNext w:val="0"/>
              <w:keepLines w:val="0"/>
              <w:widowControl/>
              <w:suppressLineNumbers w:val="0"/>
              <w:jc w:val="center"/>
              <w:rPr>
                <w:rFonts w:hint="eastAsia" w:ascii="Times New Roman" w:hAnsi="Times New Roman" w:eastAsia="宋体" w:cs="Times New Roman"/>
                <w:b w:val="0"/>
                <w:bCs/>
                <w:kern w:val="2"/>
                <w:sz w:val="21"/>
                <w:szCs w:val="20"/>
                <w:lang w:val="en-US" w:eastAsia="zh-CN" w:bidi="ar-SA"/>
              </w:rPr>
            </w:pPr>
          </w:p>
          <w:p w14:paraId="0B89D13A">
            <w:pPr>
              <w:keepNext w:val="0"/>
              <w:keepLines w:val="0"/>
              <w:widowControl/>
              <w:suppressLineNumbers w:val="0"/>
              <w:jc w:val="center"/>
              <w:rPr>
                <w:rFonts w:hint="eastAsia" w:ascii="Times New Roman" w:hAnsi="Times New Roman" w:eastAsia="宋体" w:cs="Times New Roman"/>
                <w:b w:val="0"/>
                <w:bCs/>
                <w:kern w:val="2"/>
                <w:sz w:val="21"/>
                <w:szCs w:val="20"/>
                <w:lang w:val="en-US" w:eastAsia="zh-CN" w:bidi="ar-SA"/>
              </w:rPr>
            </w:pPr>
            <w:r>
              <w:rPr>
                <w:rFonts w:hint="eastAsia" w:ascii="Times New Roman" w:hAnsi="Times New Roman" w:eastAsia="宋体" w:cs="Times New Roman"/>
                <w:b w:val="0"/>
                <w:bCs/>
                <w:kern w:val="2"/>
                <w:sz w:val="21"/>
                <w:szCs w:val="20"/>
                <w:lang w:val="en-US" w:eastAsia="zh-CN" w:bidi="ar-SA"/>
              </w:rPr>
              <w:t>套</w:t>
            </w:r>
          </w:p>
        </w:tc>
        <w:tc>
          <w:tcPr>
            <w:tcW w:w="1582" w:type="pct"/>
            <w:vMerge w:val="continue"/>
            <w:tcBorders>
              <w:top w:val="nil"/>
            </w:tcBorders>
            <w:vAlign w:val="top"/>
          </w:tcPr>
          <w:p w14:paraId="3BAA86E4">
            <w:pPr>
              <w:rPr>
                <w:rFonts w:ascii="Arial"/>
                <w:sz w:val="21"/>
              </w:rPr>
            </w:pPr>
          </w:p>
        </w:tc>
      </w:tr>
    </w:tbl>
    <w:p w14:paraId="56049828">
      <w:pPr>
        <w:keepNext w:val="0"/>
        <w:keepLines w:val="0"/>
        <w:widowControl/>
        <w:suppressLineNumbers w:val="0"/>
        <w:jc w:val="left"/>
        <w:rPr>
          <w:rFonts w:hint="eastAsia" w:eastAsia="宋体"/>
          <w:b w:val="0"/>
          <w:bCs/>
          <w:lang w:eastAsia="zh-CN"/>
        </w:rPr>
      </w:pPr>
    </w:p>
    <w:p w14:paraId="4EC58B63">
      <w:pPr>
        <w:pStyle w:val="73"/>
        <w:numPr>
          <w:ilvl w:val="0"/>
          <w:numId w:val="0"/>
        </w:numPr>
        <w:ind w:left="710" w:leftChars="0"/>
        <w:rPr>
          <w:b w:val="0"/>
          <w:bCs/>
        </w:rPr>
      </w:pPr>
      <w:r>
        <w:rPr>
          <w:rFonts w:hint="eastAsia"/>
          <w:b w:val="0"/>
          <w:bCs/>
        </w:rPr>
        <w:t>招标形式：</w:t>
      </w:r>
      <w:r>
        <w:rPr>
          <w:rFonts w:hint="eastAsia"/>
          <w:b w:val="0"/>
          <w:bCs/>
          <w:lang w:val="en-US" w:eastAsia="zh-CN"/>
        </w:rPr>
        <w:t>公开招标</w:t>
      </w:r>
    </w:p>
    <w:p w14:paraId="4B41BD77">
      <w:pPr>
        <w:pStyle w:val="72"/>
        <w:rPr>
          <w:highlight w:val="yellow"/>
        </w:rPr>
      </w:pPr>
      <w:bookmarkStart w:id="4" w:name="_Toc47976590"/>
      <w:r>
        <w:rPr>
          <w:rFonts w:hint="eastAsia"/>
          <w:highlight w:val="yellow"/>
        </w:rPr>
        <w:t>投标人资格要求</w:t>
      </w:r>
      <w:bookmarkEnd w:id="4"/>
      <w:r>
        <w:rPr>
          <w:rFonts w:hint="eastAsia"/>
          <w:highlight w:val="yellow"/>
          <w:lang w:eastAsia="zh-CN"/>
        </w:rPr>
        <w:t>：</w:t>
      </w:r>
    </w:p>
    <w:p w14:paraId="06DBB675">
      <w:pPr>
        <w:pStyle w:val="72"/>
        <w:numPr>
          <w:ilvl w:val="0"/>
          <w:numId w:val="0"/>
        </w:numPr>
        <w:ind w:leftChars="0"/>
        <w:rPr>
          <w:rFonts w:hint="eastAsia" w:ascii="宋体" w:hAnsi="宋体" w:eastAsia="宋体" w:cs="宋体"/>
          <w:b w:val="0"/>
          <w:bCs w:val="0"/>
          <w:sz w:val="21"/>
          <w:szCs w:val="21"/>
          <w:lang w:eastAsia="zh-CN"/>
        </w:rPr>
      </w:pPr>
      <w:bookmarkStart w:id="5" w:name="_Toc47976591"/>
      <w:r>
        <w:rPr>
          <w:rFonts w:hint="eastAsia" w:ascii="宋体" w:hAnsi="宋体" w:eastAsia="宋体" w:cs="宋体"/>
          <w:b w:val="0"/>
          <w:bCs w:val="0"/>
          <w:sz w:val="22"/>
          <w:szCs w:val="16"/>
          <w:lang w:eastAsia="zh-CN"/>
        </w:rPr>
        <w:t>（</w:t>
      </w:r>
      <w:r>
        <w:rPr>
          <w:rFonts w:hint="eastAsia" w:ascii="宋体" w:hAnsi="宋体" w:eastAsia="宋体" w:cs="宋体"/>
          <w:b w:val="0"/>
          <w:bCs w:val="0"/>
          <w:sz w:val="21"/>
          <w:szCs w:val="21"/>
          <w:lang w:eastAsia="zh-CN"/>
        </w:rPr>
        <w:t>1）标投人必须是独立法人机构，具有独立承担民事责任能力，投标人注册资金不低于伍佰万元；公司成立三年以上（以营业执照成立日期到开标当日满三年为准）；且经营范围满足招标人需求；并在人员、设备、资金等方面具有承担本项目的能力；</w:t>
      </w:r>
    </w:p>
    <w:p w14:paraId="5010704A">
      <w:pPr>
        <w:pStyle w:val="72"/>
        <w:numPr>
          <w:ilvl w:val="0"/>
          <w:numId w:val="0"/>
        </w:numPr>
        <w:ind w:leftChars="0"/>
        <w:rPr>
          <w:rFonts w:hint="eastAsia" w:ascii="宋体" w:hAnsi="宋体" w:eastAsia="宋体" w:cs="宋体"/>
          <w:b w:val="0"/>
          <w:bCs w:val="0"/>
          <w:sz w:val="21"/>
          <w:szCs w:val="21"/>
          <w:lang w:eastAsia="zh-CN"/>
        </w:rPr>
      </w:pPr>
      <w:r>
        <w:rPr>
          <w:rFonts w:hint="eastAsia" w:ascii="宋体" w:hAnsi="宋体" w:eastAsia="宋体" w:cs="宋体"/>
          <w:b w:val="0"/>
          <w:bCs w:val="0"/>
          <w:sz w:val="21"/>
          <w:szCs w:val="21"/>
          <w:lang w:eastAsia="zh-CN"/>
        </w:rPr>
        <w:t>（2）投标人应提供具有统一社会信用代码的营业执照副本复印件；</w:t>
      </w:r>
    </w:p>
    <w:p w14:paraId="5BBAB0D0">
      <w:pPr>
        <w:pStyle w:val="72"/>
        <w:numPr>
          <w:ilvl w:val="0"/>
          <w:numId w:val="0"/>
        </w:numPr>
        <w:ind w:leftChars="0"/>
        <w:rPr>
          <w:rFonts w:hint="eastAsia" w:ascii="宋体" w:hAnsi="宋体" w:eastAsia="宋体" w:cs="宋体"/>
          <w:b w:val="0"/>
          <w:bCs w:val="0"/>
          <w:sz w:val="21"/>
          <w:szCs w:val="21"/>
          <w:lang w:eastAsia="zh-CN"/>
        </w:rPr>
      </w:pPr>
      <w:r>
        <w:rPr>
          <w:rFonts w:hint="eastAsia" w:ascii="宋体" w:hAnsi="宋体" w:eastAsia="宋体" w:cs="宋体"/>
          <w:b w:val="0"/>
          <w:bCs w:val="0"/>
          <w:sz w:val="21"/>
          <w:szCs w:val="21"/>
          <w:lang w:eastAsia="zh-CN"/>
        </w:rPr>
        <w:t xml:space="preserve">（3）投标人在“国家企业信用信息公示系统”、“中国执行信息公开网”、“信用中国”、“天眼查”“裁判文书网”等信息平台中，无与招标项目相关的重大行政处罚及失信记录等信息； </w:t>
      </w:r>
    </w:p>
    <w:p w14:paraId="5C000E38">
      <w:pPr>
        <w:pStyle w:val="72"/>
        <w:numPr>
          <w:ilvl w:val="0"/>
          <w:numId w:val="0"/>
        </w:numPr>
        <w:ind w:leftChars="0"/>
        <w:rPr>
          <w:rFonts w:hint="eastAsia" w:ascii="宋体" w:hAnsi="宋体" w:eastAsia="宋体" w:cs="宋体"/>
          <w:b w:val="0"/>
          <w:bCs w:val="0"/>
          <w:sz w:val="21"/>
          <w:szCs w:val="21"/>
          <w:lang w:eastAsia="zh-CN"/>
        </w:rPr>
      </w:pPr>
      <w:r>
        <w:rPr>
          <w:rFonts w:hint="eastAsia" w:ascii="宋体" w:hAnsi="宋体" w:eastAsia="宋体" w:cs="宋体"/>
          <w:b w:val="0"/>
          <w:bCs w:val="0"/>
          <w:sz w:val="21"/>
          <w:szCs w:val="21"/>
          <w:lang w:eastAsia="zh-CN"/>
        </w:rPr>
        <w:t>（4）投标人近三年内在经营活动中无与本项目有关的违法及重大违规情况或被列入招标人“黑名单”；</w:t>
      </w:r>
    </w:p>
    <w:p w14:paraId="2F0B32B5">
      <w:pPr>
        <w:pStyle w:val="72"/>
        <w:numPr>
          <w:ilvl w:val="0"/>
          <w:numId w:val="0"/>
        </w:numPr>
        <w:ind w:leftChars="0"/>
        <w:rPr>
          <w:rFonts w:hint="eastAsia" w:ascii="宋体" w:hAnsi="宋体" w:eastAsia="宋体" w:cs="宋体"/>
          <w:b w:val="0"/>
          <w:bCs w:val="0"/>
          <w:sz w:val="21"/>
          <w:szCs w:val="21"/>
          <w:lang w:eastAsia="zh-CN"/>
        </w:rPr>
      </w:pPr>
      <w:r>
        <w:rPr>
          <w:rFonts w:hint="eastAsia" w:ascii="宋体" w:hAnsi="宋体" w:eastAsia="宋体" w:cs="宋体"/>
          <w:b w:val="0"/>
          <w:bCs w:val="0"/>
          <w:sz w:val="21"/>
          <w:szCs w:val="21"/>
          <w:lang w:eastAsia="zh-CN"/>
        </w:rPr>
        <w:t>（5）投标人须提供经会计师事务所审计且出具无保留意见的近三年的财务审计报告原件，并加盖公章，包括但不限于报告页、经审计的资产负债表、利润表、现金流量表及报表附注。如投标人公司没有经审计的财务报告，可提供加盖公章的近三年财务报表，包括但不限于资产负债表、利润表、现金流量表。应提供中文版本的审计报告或财务报表；</w:t>
      </w:r>
    </w:p>
    <w:p w14:paraId="2505FEF0">
      <w:pPr>
        <w:pStyle w:val="72"/>
        <w:numPr>
          <w:ilvl w:val="0"/>
          <w:numId w:val="0"/>
        </w:numPr>
        <w:ind w:leftChars="0"/>
        <w:rPr>
          <w:rFonts w:hint="eastAsia" w:ascii="宋体" w:hAnsi="宋体" w:eastAsia="宋体" w:cs="宋体"/>
          <w:b w:val="0"/>
          <w:bCs w:val="0"/>
          <w:sz w:val="21"/>
          <w:szCs w:val="21"/>
          <w:lang w:eastAsia="zh-CN"/>
        </w:rPr>
      </w:pPr>
      <w:r>
        <w:rPr>
          <w:rFonts w:hint="eastAsia" w:ascii="宋体" w:hAnsi="宋体" w:eastAsia="宋体" w:cs="宋体"/>
          <w:b w:val="0"/>
          <w:bCs w:val="0"/>
          <w:sz w:val="21"/>
          <w:szCs w:val="21"/>
          <w:lang w:eastAsia="zh-CN"/>
        </w:rPr>
        <w:t>（6）本次招标不接受联合体投标，不接受代理商投标。投标方的直接或间接股东、法定代表人、董事、监事、高管非重汽员工及其亲属；</w:t>
      </w:r>
    </w:p>
    <w:p w14:paraId="6BF48FCC">
      <w:pPr>
        <w:pStyle w:val="72"/>
        <w:numPr>
          <w:ilvl w:val="0"/>
          <w:numId w:val="0"/>
        </w:numPr>
        <w:ind w:leftChars="0"/>
        <w:rPr>
          <w:rFonts w:hint="eastAsia" w:ascii="宋体" w:hAnsi="宋体" w:eastAsia="宋体" w:cs="宋体"/>
          <w:b w:val="0"/>
          <w:bCs w:val="0"/>
          <w:sz w:val="21"/>
          <w:szCs w:val="21"/>
          <w:lang w:eastAsia="zh-CN"/>
        </w:rPr>
      </w:pPr>
      <w:r>
        <w:rPr>
          <w:rFonts w:hint="eastAsia" w:ascii="宋体" w:hAnsi="宋体" w:eastAsia="宋体" w:cs="宋体"/>
          <w:b w:val="0"/>
          <w:bCs w:val="0"/>
          <w:sz w:val="21"/>
          <w:szCs w:val="21"/>
          <w:lang w:eastAsia="zh-CN"/>
        </w:rPr>
        <w:t>（7）投标人应通过GB/ISO9001质量体系认证；</w:t>
      </w:r>
    </w:p>
    <w:p w14:paraId="6A23C7A7">
      <w:pPr>
        <w:pStyle w:val="72"/>
        <w:numPr>
          <w:ilvl w:val="0"/>
          <w:numId w:val="0"/>
        </w:numPr>
        <w:ind w:leftChars="0"/>
        <w:rPr>
          <w:rFonts w:hint="eastAsia" w:ascii="宋体" w:hAnsi="宋体" w:eastAsia="宋体" w:cs="宋体"/>
          <w:b w:val="0"/>
          <w:bCs w:val="0"/>
          <w:sz w:val="21"/>
          <w:szCs w:val="21"/>
          <w:lang w:eastAsia="zh-CN"/>
        </w:rPr>
      </w:pPr>
      <w:r>
        <w:rPr>
          <w:rFonts w:hint="eastAsia" w:ascii="宋体" w:hAnsi="宋体" w:eastAsia="宋体" w:cs="宋体"/>
          <w:b w:val="0"/>
          <w:bCs w:val="0"/>
          <w:sz w:val="21"/>
          <w:szCs w:val="21"/>
          <w:lang w:eastAsia="zh-CN"/>
        </w:rPr>
        <w:t>（8）投标人应有高压静压流水线及大型冷芯盒射芯机用芯盒相关制作或维修业绩；</w:t>
      </w:r>
    </w:p>
    <w:p w14:paraId="7370C690">
      <w:pPr>
        <w:pStyle w:val="72"/>
        <w:numPr>
          <w:ilvl w:val="0"/>
          <w:numId w:val="0"/>
        </w:numPr>
        <w:ind w:leftChars="0"/>
        <w:rPr>
          <w:rFonts w:hint="eastAsia" w:ascii="宋体" w:hAnsi="宋体" w:eastAsia="宋体" w:cs="宋体"/>
          <w:b w:val="0"/>
          <w:bCs w:val="0"/>
          <w:sz w:val="21"/>
          <w:szCs w:val="21"/>
          <w:lang w:eastAsia="zh-CN"/>
        </w:rPr>
      </w:pPr>
      <w:r>
        <w:rPr>
          <w:rFonts w:hint="eastAsia" w:ascii="宋体" w:hAnsi="宋体" w:eastAsia="宋体" w:cs="宋体"/>
          <w:b w:val="0"/>
          <w:bCs w:val="0"/>
          <w:sz w:val="21"/>
          <w:szCs w:val="21"/>
          <w:lang w:eastAsia="zh-CN"/>
        </w:rPr>
        <w:t xml:space="preserve">（9）法定代表人参加投标的，需提供身份证复印件；授权代表参加投标的，需提供法定代表人授权委托书原件及法定代表人、授权代表身份证复印件；（授权委托书详见附后格式1） </w:t>
      </w:r>
    </w:p>
    <w:p w14:paraId="61A7A932">
      <w:pPr>
        <w:pStyle w:val="72"/>
        <w:numPr>
          <w:ilvl w:val="0"/>
          <w:numId w:val="0"/>
        </w:numPr>
        <w:ind w:leftChars="0"/>
        <w:rPr>
          <w:rFonts w:hint="eastAsia" w:ascii="宋体" w:hAnsi="宋体" w:eastAsia="宋体" w:cs="宋体"/>
          <w:b w:val="0"/>
          <w:bCs w:val="0"/>
          <w:sz w:val="21"/>
          <w:szCs w:val="21"/>
          <w:lang w:eastAsia="zh-CN"/>
        </w:rPr>
      </w:pPr>
      <w:r>
        <w:rPr>
          <w:rFonts w:hint="eastAsia" w:ascii="宋体" w:hAnsi="宋体" w:eastAsia="宋体" w:cs="宋体"/>
          <w:b w:val="0"/>
          <w:bCs w:val="0"/>
          <w:sz w:val="21"/>
          <w:szCs w:val="21"/>
          <w:lang w:eastAsia="zh-CN"/>
        </w:rPr>
        <w:t>（10）投标人在向招标人提交投标保证金缴纳证明后方可进行投标；</w:t>
      </w:r>
    </w:p>
    <w:p w14:paraId="1187EFF5">
      <w:pPr>
        <w:pStyle w:val="72"/>
        <w:numPr>
          <w:ilvl w:val="0"/>
          <w:numId w:val="0"/>
        </w:numPr>
        <w:ind w:leftChars="0"/>
        <w:rPr>
          <w:rFonts w:hint="eastAsia" w:ascii="宋体" w:hAnsi="宋体" w:eastAsia="宋体" w:cs="宋体"/>
          <w:b w:val="0"/>
          <w:bCs w:val="0"/>
          <w:sz w:val="21"/>
          <w:szCs w:val="21"/>
          <w:lang w:eastAsia="zh-CN"/>
        </w:rPr>
      </w:pPr>
      <w:r>
        <w:rPr>
          <w:rFonts w:hint="eastAsia" w:ascii="宋体" w:hAnsi="宋体" w:eastAsia="宋体" w:cs="宋体"/>
          <w:b w:val="0"/>
          <w:bCs w:val="0"/>
          <w:sz w:val="21"/>
          <w:szCs w:val="21"/>
          <w:lang w:eastAsia="zh-CN"/>
        </w:rPr>
        <w:t>（11）企业最近半年完税证明、信用证明材料（中国人民银行信用代码证+征信报告）；</w:t>
      </w:r>
    </w:p>
    <w:p w14:paraId="0B736035">
      <w:pPr>
        <w:pStyle w:val="72"/>
        <w:numPr>
          <w:ilvl w:val="0"/>
          <w:numId w:val="0"/>
        </w:numPr>
        <w:ind w:leftChars="0"/>
        <w:rPr>
          <w:rFonts w:hint="eastAsia" w:ascii="宋体" w:hAnsi="宋体" w:eastAsia="宋体" w:cs="宋体"/>
          <w:b w:val="0"/>
          <w:bCs w:val="0"/>
          <w:sz w:val="21"/>
          <w:szCs w:val="21"/>
          <w:lang w:eastAsia="zh-CN"/>
        </w:rPr>
      </w:pPr>
      <w:r>
        <w:rPr>
          <w:rFonts w:hint="eastAsia" w:ascii="宋体" w:hAnsi="宋体" w:eastAsia="宋体" w:cs="宋体"/>
          <w:b w:val="0"/>
          <w:bCs w:val="0"/>
          <w:sz w:val="21"/>
          <w:szCs w:val="21"/>
          <w:lang w:eastAsia="zh-CN"/>
        </w:rPr>
        <w:t>（1</w:t>
      </w:r>
      <w:r>
        <w:rPr>
          <w:rFonts w:hint="eastAsia" w:ascii="宋体" w:hAnsi="宋体" w:eastAsia="宋体" w:cs="宋体"/>
          <w:b w:val="0"/>
          <w:bCs w:val="0"/>
          <w:sz w:val="21"/>
          <w:szCs w:val="21"/>
          <w:lang w:val="en-US" w:eastAsia="zh-CN"/>
        </w:rPr>
        <w:t>2</w:t>
      </w:r>
      <w:r>
        <w:rPr>
          <w:rFonts w:hint="eastAsia" w:ascii="宋体" w:hAnsi="宋体" w:eastAsia="宋体" w:cs="宋体"/>
          <w:b w:val="0"/>
          <w:bCs w:val="0"/>
          <w:sz w:val="21"/>
          <w:szCs w:val="21"/>
          <w:lang w:eastAsia="zh-CN"/>
        </w:rPr>
        <w:t>）年度纳税信用评价信息（可从电子税务局查询截图，需加盖公章）；</w:t>
      </w:r>
    </w:p>
    <w:p w14:paraId="685E20C1">
      <w:pPr>
        <w:pStyle w:val="72"/>
        <w:numPr>
          <w:ilvl w:val="0"/>
          <w:numId w:val="0"/>
        </w:numPr>
        <w:ind w:leftChars="0"/>
        <w:rPr>
          <w:rFonts w:hint="eastAsia" w:ascii="宋体" w:hAnsi="宋体" w:eastAsia="宋体" w:cs="宋体"/>
          <w:b w:val="0"/>
          <w:bCs w:val="0"/>
          <w:sz w:val="21"/>
          <w:szCs w:val="21"/>
          <w:lang w:eastAsia="zh-CN"/>
        </w:rPr>
      </w:pPr>
      <w:r>
        <w:rPr>
          <w:rFonts w:hint="eastAsia" w:ascii="宋体" w:hAnsi="宋体" w:eastAsia="宋体" w:cs="宋体"/>
          <w:b w:val="0"/>
          <w:bCs w:val="0"/>
          <w:sz w:val="21"/>
          <w:szCs w:val="21"/>
          <w:lang w:eastAsia="zh-CN"/>
        </w:rPr>
        <w:t>（1</w:t>
      </w:r>
      <w:r>
        <w:rPr>
          <w:rFonts w:hint="eastAsia" w:ascii="宋体" w:hAnsi="宋体" w:eastAsia="宋体" w:cs="宋体"/>
          <w:b w:val="0"/>
          <w:bCs w:val="0"/>
          <w:sz w:val="21"/>
          <w:szCs w:val="21"/>
          <w:lang w:val="en-US" w:eastAsia="zh-CN"/>
        </w:rPr>
        <w:t>3</w:t>
      </w:r>
      <w:r>
        <w:rPr>
          <w:rFonts w:hint="eastAsia" w:ascii="宋体" w:hAnsi="宋体" w:eastAsia="宋体" w:cs="宋体"/>
          <w:b w:val="0"/>
          <w:bCs w:val="0"/>
          <w:sz w:val="21"/>
          <w:szCs w:val="21"/>
          <w:lang w:eastAsia="zh-CN"/>
        </w:rPr>
        <w:t>）企业对外担保说明（写明贵单位对外有无对外担保和质押业务，需加盖公章）</w:t>
      </w:r>
      <w:bookmarkEnd w:id="5"/>
      <w:r>
        <w:rPr>
          <w:rFonts w:hint="eastAsia" w:ascii="宋体" w:hAnsi="宋体" w:eastAsia="宋体" w:cs="宋体"/>
          <w:b w:val="0"/>
          <w:bCs w:val="0"/>
          <w:sz w:val="21"/>
          <w:szCs w:val="21"/>
          <w:lang w:eastAsia="zh-CN"/>
        </w:rPr>
        <w:t>；</w:t>
      </w:r>
    </w:p>
    <w:p w14:paraId="11C1A53D">
      <w:pPr>
        <w:pStyle w:val="72"/>
        <w:numPr>
          <w:ilvl w:val="0"/>
          <w:numId w:val="0"/>
        </w:numPr>
        <w:ind w:leftChars="0"/>
        <w:rPr>
          <w:rFonts w:hint="eastAsia" w:ascii="宋体" w:hAnsi="宋体" w:eastAsia="宋体" w:cs="宋体"/>
          <w:b w:val="0"/>
          <w:bCs w:val="0"/>
          <w:sz w:val="21"/>
          <w:szCs w:val="21"/>
          <w:lang w:eastAsia="zh-CN"/>
        </w:rPr>
      </w:pPr>
      <w:r>
        <w:rPr>
          <w:rFonts w:hint="eastAsia" w:ascii="宋体" w:hAnsi="宋体" w:eastAsia="宋体" w:cs="宋体"/>
          <w:b w:val="0"/>
          <w:bCs w:val="0"/>
          <w:sz w:val="21"/>
          <w:szCs w:val="21"/>
          <w:lang w:eastAsia="zh-CN"/>
        </w:rPr>
        <w:t>（1</w:t>
      </w:r>
      <w:r>
        <w:rPr>
          <w:rFonts w:hint="eastAsia" w:ascii="宋体" w:hAnsi="宋体" w:eastAsia="宋体" w:cs="宋体"/>
          <w:b w:val="0"/>
          <w:bCs w:val="0"/>
          <w:sz w:val="21"/>
          <w:szCs w:val="21"/>
          <w:lang w:val="en-US" w:eastAsia="zh-CN"/>
        </w:rPr>
        <w:t>4</w:t>
      </w:r>
      <w:r>
        <w:rPr>
          <w:rFonts w:hint="eastAsia" w:ascii="宋体" w:hAnsi="宋体" w:eastAsia="宋体" w:cs="宋体"/>
          <w:b w:val="0"/>
          <w:bCs w:val="0"/>
          <w:sz w:val="21"/>
          <w:szCs w:val="21"/>
          <w:lang w:eastAsia="zh-CN"/>
        </w:rPr>
        <w:t>）无招标违规、谎报年度报告信息、提供虚假资质资料等行为或其他行政处罚记录；近三年内在经营活动中无与本项目有关的违法及重大违规情况。</w:t>
      </w:r>
    </w:p>
    <w:p w14:paraId="4509C0DA">
      <w:pPr>
        <w:pStyle w:val="72"/>
        <w:rPr>
          <w:highlight w:val="none"/>
        </w:rPr>
      </w:pPr>
      <w:bookmarkStart w:id="6" w:name="_Toc47976592"/>
      <w:r>
        <w:rPr>
          <w:rFonts w:hint="eastAsia"/>
          <w:highlight w:val="none"/>
        </w:rPr>
        <w:t>投标文件</w:t>
      </w:r>
      <w:r>
        <w:rPr>
          <w:rFonts w:hint="eastAsia"/>
          <w:highlight w:val="none"/>
          <w:lang w:val="en-US" w:eastAsia="zh-CN"/>
        </w:rPr>
        <w:t>发布和</w:t>
      </w:r>
      <w:r>
        <w:rPr>
          <w:rFonts w:hint="eastAsia"/>
          <w:highlight w:val="none"/>
        </w:rPr>
        <w:t>递交</w:t>
      </w:r>
      <w:bookmarkEnd w:id="6"/>
    </w:p>
    <w:p w14:paraId="50E4582E">
      <w:pPr>
        <w:pStyle w:val="72"/>
        <w:numPr>
          <w:ilvl w:val="0"/>
          <w:numId w:val="0"/>
        </w:numPr>
        <w:ind w:leftChars="0"/>
        <w:rPr>
          <w:rFonts w:hint="eastAsia" w:ascii="宋体" w:hAnsi="宋体" w:eastAsia="宋体" w:cs="宋体"/>
          <w:sz w:val="24"/>
          <w:szCs w:val="18"/>
          <w:highlight w:val="none"/>
          <w:lang w:val="en-US" w:eastAsia="zh-CN"/>
        </w:rPr>
      </w:pPr>
      <w:r>
        <w:rPr>
          <w:rFonts w:hint="eastAsia" w:ascii="宋体" w:hAnsi="宋体" w:eastAsia="宋体" w:cs="宋体"/>
          <w:sz w:val="24"/>
          <w:szCs w:val="18"/>
          <w:highlight w:val="none"/>
          <w:lang w:val="en-US" w:eastAsia="zh-CN"/>
        </w:rPr>
        <w:t>e</w:t>
      </w:r>
      <w:r>
        <w:rPr>
          <w:rFonts w:hint="eastAsia" w:ascii="宋体" w:hAnsi="宋体" w:eastAsia="宋体" w:cs="宋体"/>
          <w:sz w:val="21"/>
          <w:szCs w:val="15"/>
          <w:highlight w:val="none"/>
          <w:lang w:val="en-US" w:eastAsia="zh-CN"/>
        </w:rPr>
        <w:t>采通系统上传电子文件</w:t>
      </w:r>
    </w:p>
    <w:p w14:paraId="27B65ABD">
      <w:pPr>
        <w:pStyle w:val="72"/>
        <w:rPr>
          <w:highlight w:val="none"/>
        </w:rPr>
      </w:pPr>
      <w:r>
        <w:rPr>
          <w:rFonts w:hint="eastAsia"/>
          <w:highlight w:val="none"/>
          <w:lang w:val="en-US" w:eastAsia="zh-CN"/>
        </w:rPr>
        <w:t>开标时间和地点</w:t>
      </w:r>
    </w:p>
    <w:p w14:paraId="7DA904F8">
      <w:pPr>
        <w:pStyle w:val="72"/>
        <w:numPr>
          <w:ilvl w:val="0"/>
          <w:numId w:val="0"/>
        </w:numPr>
        <w:ind w:leftChars="0"/>
        <w:rPr>
          <w:rFonts w:hint="eastAsia" w:ascii="宋体" w:hAnsi="宋体" w:eastAsia="宋体" w:cs="宋体"/>
          <w:sz w:val="21"/>
          <w:szCs w:val="21"/>
          <w:highlight w:val="yellow"/>
          <w:lang w:val="en-US" w:eastAsia="zh-CN"/>
        </w:rPr>
      </w:pPr>
      <w:r>
        <w:rPr>
          <w:rFonts w:hint="eastAsia" w:ascii="宋体" w:hAnsi="宋体" w:eastAsia="宋体" w:cs="宋体"/>
          <w:sz w:val="21"/>
          <w:szCs w:val="21"/>
          <w:highlight w:val="yellow"/>
          <w:lang w:val="en-US" w:eastAsia="zh-CN"/>
        </w:rPr>
        <w:t>开标时间</w:t>
      </w:r>
      <w:r>
        <w:rPr>
          <w:rFonts w:hint="eastAsia" w:ascii="宋体" w:hAnsi="宋体" w:eastAsia="宋体" w:cs="宋体"/>
          <w:sz w:val="21"/>
          <w:szCs w:val="21"/>
          <w:highlight w:val="none"/>
          <w:lang w:val="en-US" w:eastAsia="zh-CN"/>
        </w:rPr>
        <w:t>：</w:t>
      </w:r>
      <w:r>
        <w:rPr>
          <w:rFonts w:hint="eastAsia" w:ascii="宋体" w:hAnsi="宋体" w:eastAsia="宋体" w:cs="宋体"/>
          <w:sz w:val="21"/>
          <w:szCs w:val="21"/>
          <w:highlight w:val="yellow"/>
          <w:lang w:val="en-US" w:eastAsia="zh-CN"/>
        </w:rPr>
        <w:t>2026年2月23日9点00分（若有变动，另行通知）</w:t>
      </w:r>
    </w:p>
    <w:p w14:paraId="10353ED7">
      <w:pPr>
        <w:pStyle w:val="72"/>
        <w:numPr>
          <w:ilvl w:val="0"/>
          <w:numId w:val="0"/>
        </w:numPr>
        <w:ind w:leftChars="0"/>
        <w:rPr>
          <w:rFonts w:hint="eastAsia" w:ascii="宋体" w:hAnsi="宋体" w:eastAsia="宋体" w:cs="宋体"/>
          <w:sz w:val="21"/>
          <w:szCs w:val="21"/>
          <w:highlight w:val="none"/>
          <w:lang w:val="en-US" w:eastAsia="zh-CN"/>
        </w:rPr>
      </w:pPr>
      <w:r>
        <w:rPr>
          <w:rFonts w:hint="eastAsia" w:ascii="宋体" w:hAnsi="宋体" w:eastAsia="宋体" w:cs="宋体"/>
          <w:sz w:val="21"/>
          <w:szCs w:val="21"/>
          <w:highlight w:val="yellow"/>
          <w:lang w:val="en-US" w:eastAsia="zh-CN"/>
        </w:rPr>
        <w:t>开标地点</w:t>
      </w:r>
      <w:r>
        <w:rPr>
          <w:rFonts w:hint="eastAsia" w:ascii="宋体" w:hAnsi="宋体" w:eastAsia="宋体" w:cs="宋体"/>
          <w:sz w:val="21"/>
          <w:szCs w:val="21"/>
          <w:highlight w:val="none"/>
          <w:lang w:val="en-US" w:eastAsia="zh-CN"/>
        </w:rPr>
        <w:t>：线上</w:t>
      </w:r>
    </w:p>
    <w:p w14:paraId="22385406">
      <w:pPr>
        <w:pStyle w:val="72"/>
      </w:pPr>
      <w:bookmarkStart w:id="7" w:name="_Toc47976593"/>
      <w:r>
        <w:rPr>
          <w:rFonts w:hint="eastAsia"/>
        </w:rPr>
        <w:t>招标公告发布媒介</w:t>
      </w:r>
      <w:bookmarkEnd w:id="7"/>
    </w:p>
    <w:p w14:paraId="15C59335">
      <w:pPr>
        <w:pStyle w:val="73"/>
        <w:numPr>
          <w:ilvl w:val="0"/>
          <w:numId w:val="0"/>
        </w:numPr>
        <w:rPr>
          <w:rFonts w:hint="eastAsia"/>
          <w:highlight w:val="none"/>
        </w:rPr>
      </w:pPr>
      <w:r>
        <w:rPr>
          <w:rFonts w:hint="eastAsia"/>
          <w:highlight w:val="none"/>
        </w:rPr>
        <w:t>本次招标公告同时在</w:t>
      </w:r>
      <w:r>
        <w:rPr>
          <w:rFonts w:hint="eastAsia"/>
          <w:highlight w:val="none"/>
          <w:lang w:val="en-US" w:eastAsia="zh-CN"/>
        </w:rPr>
        <w:t>重汽官网，重汽e采通系统</w:t>
      </w:r>
      <w:r>
        <w:rPr>
          <w:rFonts w:hint="eastAsia"/>
          <w:highlight w:val="none"/>
        </w:rPr>
        <w:t>上发布。</w:t>
      </w:r>
    </w:p>
    <w:p w14:paraId="65FC2213">
      <w:pPr>
        <w:pStyle w:val="72"/>
        <w:rPr>
          <w:highlight w:val="yellow"/>
        </w:rPr>
      </w:pPr>
      <w:bookmarkStart w:id="8" w:name="_Toc47976594"/>
      <w:r>
        <w:rPr>
          <w:rFonts w:hint="eastAsia"/>
          <w:highlight w:val="yellow"/>
        </w:rPr>
        <w:t>联系方式</w:t>
      </w:r>
      <w:bookmarkEnd w:id="8"/>
    </w:p>
    <w:p w14:paraId="09BFCC5C">
      <w:pPr>
        <w:pStyle w:val="72"/>
        <w:numPr>
          <w:ilvl w:val="0"/>
          <w:numId w:val="0"/>
        </w:numPr>
        <w:ind w:leftChars="0"/>
      </w:pPr>
      <w:r>
        <w:rPr>
          <w:rFonts w:hint="eastAsia" w:ascii="宋体" w:hAnsi="宋体" w:eastAsia="宋体" w:cs="宋体"/>
          <w:sz w:val="21"/>
          <w:szCs w:val="21"/>
          <w:highlight w:val="none"/>
          <w:lang w:val="en-US" w:eastAsia="zh-CN"/>
        </w:rPr>
        <w:t>商务联系人：白杨-15165312728；技术联系人：赵聪超-15069162368</w:t>
      </w:r>
    </w:p>
    <w:p w14:paraId="1A6DCC2C">
      <w:pPr>
        <w:pStyle w:val="76"/>
      </w:pPr>
    </w:p>
    <w:p w14:paraId="6D4C3503">
      <w:pPr>
        <w:pStyle w:val="76"/>
      </w:pPr>
    </w:p>
    <w:p w14:paraId="70A7FEA7">
      <w:pPr>
        <w:pStyle w:val="76"/>
        <w:jc w:val="both"/>
        <w:rPr>
          <w:rFonts w:hint="default"/>
          <w:highlight w:val="cyan"/>
          <w:u w:val="single"/>
          <w:lang w:val="en-US" w:eastAsia="zh-CN"/>
        </w:rPr>
      </w:pPr>
    </w:p>
    <w:p w14:paraId="3A7E2D48">
      <w:pPr>
        <w:pStyle w:val="76"/>
        <w:jc w:val="right"/>
        <w:rPr>
          <w:rFonts w:hint="eastAsia"/>
          <w:highlight w:val="cyan"/>
          <w:u w:val="single"/>
          <w:lang w:val="en-US" w:eastAsia="zh-CN"/>
        </w:rPr>
      </w:pPr>
    </w:p>
    <w:p w14:paraId="3C6FC94E">
      <w:pPr>
        <w:pStyle w:val="76"/>
      </w:pPr>
    </w:p>
    <w:p w14:paraId="3D820EEC">
      <w:pPr>
        <w:pStyle w:val="71"/>
      </w:pPr>
      <w:bookmarkStart w:id="9" w:name="_Toc7753"/>
      <w:bookmarkStart w:id="10" w:name="_Toc47976595"/>
      <w:r>
        <w:rPr>
          <w:rFonts w:hint="eastAsia"/>
        </w:rPr>
        <w:t>第一部分  投标人须知</w:t>
      </w:r>
      <w:bookmarkEnd w:id="9"/>
      <w:bookmarkEnd w:id="10"/>
    </w:p>
    <w:p w14:paraId="418340FC">
      <w:pPr>
        <w:pStyle w:val="72"/>
        <w:numPr>
          <w:ilvl w:val="0"/>
          <w:numId w:val="10"/>
        </w:numPr>
        <w:ind w:left="420"/>
        <w:jc w:val="left"/>
      </w:pPr>
      <w:bookmarkStart w:id="11" w:name="_Toc47976596"/>
      <w:r>
        <w:rPr>
          <w:rFonts w:hint="eastAsia"/>
        </w:rPr>
        <w:t>项目介绍</w:t>
      </w:r>
      <w:bookmarkEnd w:id="11"/>
    </w:p>
    <w:p w14:paraId="6360E7CD">
      <w:pPr>
        <w:pStyle w:val="76"/>
        <w:numPr>
          <w:ilvl w:val="0"/>
          <w:numId w:val="11"/>
        </w:numPr>
        <w:ind w:left="425" w:leftChars="0" w:hanging="425" w:firstLineChars="0"/>
      </w:pPr>
      <w:r>
        <w:rPr>
          <w:rFonts w:hint="eastAsia"/>
        </w:rPr>
        <w:t>项目名称：</w:t>
      </w:r>
      <w:r>
        <w:rPr>
          <w:rFonts w:hint="eastAsia"/>
          <w:lang w:eastAsia="zh-CN"/>
        </w:rPr>
        <w:t>济南成型厂3906缸体工装修改项目</w:t>
      </w:r>
    </w:p>
    <w:p w14:paraId="17A97EAA">
      <w:pPr>
        <w:pStyle w:val="76"/>
        <w:numPr>
          <w:ilvl w:val="0"/>
          <w:numId w:val="11"/>
        </w:numPr>
        <w:ind w:left="425" w:leftChars="0" w:hanging="425" w:firstLineChars="0"/>
        <w:rPr>
          <w:highlight w:val="yellow"/>
        </w:rPr>
      </w:pPr>
      <w:r>
        <w:rPr>
          <w:rFonts w:hint="eastAsia"/>
          <w:highlight w:val="yellow"/>
        </w:rPr>
        <w:t>项目编号：</w:t>
      </w:r>
    </w:p>
    <w:p w14:paraId="5C6CF568">
      <w:pPr>
        <w:pStyle w:val="76"/>
        <w:numPr>
          <w:ilvl w:val="0"/>
          <w:numId w:val="11"/>
        </w:numPr>
        <w:ind w:left="425" w:leftChars="0" w:hanging="425" w:firstLineChars="0"/>
      </w:pPr>
      <w:r>
        <w:rPr>
          <w:rFonts w:hint="eastAsia"/>
        </w:rPr>
        <w:t>招标形式：</w:t>
      </w:r>
      <w:bookmarkStart w:id="12" w:name="_Toc47112482"/>
      <w:r>
        <w:rPr>
          <w:rFonts w:hint="eastAsia"/>
          <w:lang w:val="en-US" w:eastAsia="zh-CN"/>
        </w:rPr>
        <w:t>公开招标</w:t>
      </w:r>
    </w:p>
    <w:p w14:paraId="151561C8">
      <w:pPr>
        <w:pStyle w:val="76"/>
        <w:numPr>
          <w:ilvl w:val="0"/>
          <w:numId w:val="11"/>
        </w:numPr>
        <w:ind w:left="425" w:leftChars="0" w:hanging="425" w:firstLineChars="0"/>
        <w:rPr>
          <w:rFonts w:hint="default" w:ascii="宋体" w:hAnsi="Courier New" w:eastAsia="宋体" w:cs="Times New Roman"/>
          <w:highlight w:val="none"/>
          <w:lang w:val="en-US" w:eastAsia="zh-CN"/>
        </w:rPr>
      </w:pPr>
      <w:r>
        <w:rPr>
          <w:rFonts w:hint="eastAsia" w:cs="Times New Roman"/>
          <w:highlight w:val="none"/>
          <w:lang w:val="en-US" w:eastAsia="zh-CN"/>
        </w:rPr>
        <w:t>招标内容</w:t>
      </w:r>
      <w:r>
        <w:rPr>
          <w:rFonts w:hint="eastAsia" w:ascii="宋体" w:hAnsi="Courier New" w:eastAsia="宋体" w:cs="Times New Roman"/>
          <w:highlight w:val="none"/>
          <w:lang w:val="en-US" w:eastAsia="zh-CN"/>
        </w:rPr>
        <w:t>具体要求详见。</w:t>
      </w:r>
    </w:p>
    <w:bookmarkEnd w:id="12"/>
    <w:p w14:paraId="31CA8C38">
      <w:pPr>
        <w:pStyle w:val="72"/>
        <w:rPr>
          <w:rFonts w:hint="eastAsia" w:hAnsi="Courier New" w:cs="Times New Roman"/>
          <w:highlight w:val="none"/>
        </w:rPr>
      </w:pPr>
      <w:r>
        <w:rPr>
          <w:rFonts w:hint="eastAsia" w:hAnsi="Courier New" w:cs="Times New Roman"/>
          <w:highlight w:val="none"/>
        </w:rPr>
        <w:t>招标文件的</w:t>
      </w:r>
      <w:r>
        <w:rPr>
          <w:rFonts w:hint="eastAsia" w:hAnsi="Courier New" w:cs="Times New Roman"/>
          <w:highlight w:val="none"/>
          <w:lang w:val="en-US" w:eastAsia="zh-CN"/>
        </w:rPr>
        <w:t>领取、</w:t>
      </w:r>
      <w:r>
        <w:rPr>
          <w:rFonts w:hint="eastAsia" w:hAnsi="Courier New" w:cs="Times New Roman"/>
          <w:highlight w:val="none"/>
        </w:rPr>
        <w:t>答疑、</w:t>
      </w:r>
      <w:r>
        <w:rPr>
          <w:rFonts w:hint="eastAsia" w:hAnsi="Courier New" w:cs="Times New Roman"/>
          <w:highlight w:val="none"/>
          <w:lang w:val="en-US" w:eastAsia="zh-CN"/>
        </w:rPr>
        <w:t>应标</w:t>
      </w:r>
      <w:r>
        <w:rPr>
          <w:rFonts w:hint="eastAsia" w:hAnsi="Courier New" w:cs="Times New Roman"/>
          <w:highlight w:val="none"/>
        </w:rPr>
        <w:t>及投标报名</w:t>
      </w:r>
    </w:p>
    <w:p w14:paraId="09A92690">
      <w:pPr>
        <w:pStyle w:val="76"/>
        <w:numPr>
          <w:ilvl w:val="0"/>
          <w:numId w:val="12"/>
        </w:numPr>
        <w:ind w:left="425" w:leftChars="0" w:hanging="425" w:firstLineChars="0"/>
        <w:jc w:val="both"/>
        <w:rPr>
          <w:rFonts w:hint="eastAsia" w:ascii="宋体" w:hAnsi="Courier New" w:eastAsia="宋体" w:cs="Times New Roman"/>
          <w:highlight w:val="none"/>
          <w:lang w:val="en-US" w:eastAsia="zh-CN"/>
        </w:rPr>
      </w:pPr>
      <w:r>
        <w:rPr>
          <w:rFonts w:hint="eastAsia" w:ascii="宋体" w:hAnsi="Courier New" w:eastAsia="宋体" w:cs="Times New Roman"/>
          <w:highlight w:val="none"/>
          <w:lang w:val="en-US" w:eastAsia="zh-CN"/>
        </w:rPr>
        <w:t>发标时间：</w:t>
      </w:r>
      <w:r>
        <w:rPr>
          <w:rFonts w:hint="eastAsia" w:cs="Times New Roman"/>
          <w:highlight w:val="none"/>
          <w:lang w:val="en-US" w:eastAsia="zh-CN"/>
        </w:rPr>
        <w:t>2026</w:t>
      </w:r>
      <w:r>
        <w:rPr>
          <w:rFonts w:hint="eastAsia" w:ascii="宋体" w:hAnsi="Courier New" w:eastAsia="宋体" w:cs="Times New Roman"/>
          <w:highlight w:val="none"/>
          <w:lang w:val="en-US" w:eastAsia="zh-CN"/>
        </w:rPr>
        <w:t>年</w:t>
      </w:r>
      <w:r>
        <w:rPr>
          <w:rFonts w:hint="eastAsia" w:cs="Times New Roman"/>
          <w:highlight w:val="none"/>
          <w:lang w:val="en-US" w:eastAsia="zh-CN"/>
        </w:rPr>
        <w:t>2</w:t>
      </w:r>
      <w:r>
        <w:rPr>
          <w:rFonts w:hint="eastAsia" w:ascii="宋体" w:hAnsi="Courier New" w:eastAsia="宋体" w:cs="Times New Roman"/>
          <w:highlight w:val="none"/>
          <w:lang w:val="en-US" w:eastAsia="zh-CN"/>
        </w:rPr>
        <w:t>月</w:t>
      </w:r>
      <w:r>
        <w:rPr>
          <w:rFonts w:hint="eastAsia" w:cs="Times New Roman"/>
          <w:highlight w:val="none"/>
          <w:lang w:val="en-US" w:eastAsia="zh-CN"/>
        </w:rPr>
        <w:t>10</w:t>
      </w:r>
      <w:r>
        <w:rPr>
          <w:rFonts w:hint="eastAsia" w:ascii="宋体" w:hAnsi="Courier New" w:eastAsia="宋体" w:cs="Times New Roman"/>
          <w:highlight w:val="none"/>
          <w:lang w:val="en-US" w:eastAsia="zh-CN"/>
        </w:rPr>
        <w:t>日</w:t>
      </w:r>
    </w:p>
    <w:p w14:paraId="7480CA22">
      <w:pPr>
        <w:pStyle w:val="76"/>
        <w:numPr>
          <w:ilvl w:val="0"/>
          <w:numId w:val="12"/>
        </w:numPr>
        <w:ind w:left="425" w:leftChars="0" w:hanging="425" w:firstLineChars="0"/>
        <w:jc w:val="both"/>
        <w:rPr>
          <w:rFonts w:hint="default" w:ascii="宋体" w:hAnsi="Courier New" w:eastAsia="宋体" w:cs="Times New Roman"/>
          <w:highlight w:val="none"/>
          <w:lang w:val="en-US" w:eastAsia="zh-CN"/>
        </w:rPr>
      </w:pPr>
      <w:r>
        <w:rPr>
          <w:rFonts w:hint="eastAsia" w:ascii="宋体" w:hAnsi="Courier New" w:eastAsia="宋体" w:cs="Times New Roman"/>
          <w:highlight w:val="none"/>
          <w:lang w:val="en-US" w:eastAsia="zh-CN"/>
        </w:rPr>
        <w:t>招标文件领取方式</w:t>
      </w:r>
      <w:r>
        <w:rPr>
          <w:rFonts w:hint="eastAsia" w:cs="Times New Roman"/>
          <w:highlight w:val="none"/>
          <w:lang w:val="en-US" w:eastAsia="zh-CN"/>
        </w:rPr>
        <w:t>：重汽e采通，重汽官网等</w:t>
      </w:r>
    </w:p>
    <w:p w14:paraId="62084E4B">
      <w:pPr>
        <w:pStyle w:val="76"/>
        <w:numPr>
          <w:ilvl w:val="0"/>
          <w:numId w:val="12"/>
        </w:numPr>
        <w:ind w:left="425" w:leftChars="0" w:hanging="425" w:firstLineChars="0"/>
        <w:jc w:val="both"/>
        <w:rPr>
          <w:rFonts w:hint="eastAsia" w:ascii="宋体" w:hAnsi="Courier New" w:eastAsia="宋体" w:cs="Times New Roman"/>
          <w:highlight w:val="none"/>
          <w:lang w:val="en-US" w:eastAsia="zh-CN"/>
        </w:rPr>
      </w:pPr>
      <w:r>
        <w:rPr>
          <w:rFonts w:hint="eastAsia" w:ascii="宋体" w:hAnsi="Courier New" w:eastAsia="宋体" w:cs="Times New Roman"/>
          <w:highlight w:val="none"/>
          <w:lang w:val="en-US" w:eastAsia="zh-CN"/>
        </w:rPr>
        <w:t>答疑时间：</w:t>
      </w:r>
      <w:r>
        <w:rPr>
          <w:rFonts w:hint="eastAsia" w:cs="Times New Roman"/>
          <w:highlight w:val="none"/>
          <w:lang w:val="en-US" w:eastAsia="zh-CN"/>
        </w:rPr>
        <w:t>2026</w:t>
      </w:r>
      <w:r>
        <w:rPr>
          <w:rFonts w:hint="eastAsia" w:ascii="宋体" w:hAnsi="Courier New" w:eastAsia="宋体" w:cs="Times New Roman"/>
          <w:highlight w:val="none"/>
          <w:lang w:val="en-US" w:eastAsia="zh-CN"/>
        </w:rPr>
        <w:t>年</w:t>
      </w:r>
      <w:r>
        <w:rPr>
          <w:rFonts w:hint="eastAsia" w:cs="Times New Roman"/>
          <w:highlight w:val="none"/>
          <w:lang w:val="en-US" w:eastAsia="zh-CN"/>
        </w:rPr>
        <w:t>2</w:t>
      </w:r>
      <w:r>
        <w:rPr>
          <w:rFonts w:hint="eastAsia" w:ascii="宋体" w:hAnsi="Courier New" w:eastAsia="宋体" w:cs="Times New Roman"/>
          <w:highlight w:val="none"/>
          <w:lang w:val="en-US" w:eastAsia="zh-CN"/>
        </w:rPr>
        <w:t>月</w:t>
      </w:r>
      <w:r>
        <w:rPr>
          <w:rFonts w:hint="eastAsia" w:cs="Times New Roman"/>
          <w:highlight w:val="none"/>
          <w:lang w:val="en-US" w:eastAsia="zh-CN"/>
        </w:rPr>
        <w:t>23</w:t>
      </w:r>
      <w:r>
        <w:rPr>
          <w:rFonts w:hint="eastAsia" w:ascii="宋体" w:hAnsi="Courier New" w:eastAsia="宋体" w:cs="Times New Roman"/>
          <w:highlight w:val="none"/>
          <w:lang w:val="en-US" w:eastAsia="zh-CN"/>
        </w:rPr>
        <w:t>日前</w:t>
      </w:r>
    </w:p>
    <w:p w14:paraId="62CB87C4">
      <w:pPr>
        <w:pStyle w:val="76"/>
        <w:keepNext w:val="0"/>
        <w:keepLines w:val="0"/>
        <w:pageBreakBefore w:val="0"/>
        <w:widowControl w:val="0"/>
        <w:numPr>
          <w:ilvl w:val="0"/>
          <w:numId w:val="12"/>
        </w:numPr>
        <w:kinsoku/>
        <w:wordWrap/>
        <w:overflowPunct/>
        <w:topLinePunct w:val="0"/>
        <w:autoSpaceDE/>
        <w:autoSpaceDN/>
        <w:bidi w:val="0"/>
        <w:adjustRightInd/>
        <w:snapToGrid/>
        <w:ind w:left="0" w:leftChars="0" w:firstLine="0" w:firstLineChars="0"/>
        <w:jc w:val="both"/>
        <w:textAlignment w:val="auto"/>
        <w:rPr>
          <w:rFonts w:hint="eastAsia" w:cs="Times New Roman"/>
          <w:highlight w:val="none"/>
          <w:lang w:val="en-US" w:eastAsia="zh-CN"/>
        </w:rPr>
      </w:pPr>
      <w:r>
        <w:rPr>
          <w:rFonts w:hint="eastAsia" w:cs="Times New Roman"/>
          <w:highlight w:val="none"/>
          <w:lang w:val="en-US" w:eastAsia="zh-CN"/>
        </w:rPr>
        <w:t>提交疑问</w:t>
      </w:r>
      <w:r>
        <w:rPr>
          <w:rFonts w:hint="eastAsia" w:ascii="宋体" w:hAnsi="Courier New" w:eastAsia="宋体" w:cs="Times New Roman"/>
          <w:highlight w:val="none"/>
          <w:lang w:val="en-US" w:eastAsia="zh-CN"/>
        </w:rPr>
        <w:t>方式</w:t>
      </w:r>
      <w:r>
        <w:rPr>
          <w:rFonts w:hint="eastAsia" w:cs="Times New Roman"/>
          <w:highlight w:val="none"/>
          <w:lang w:val="en-US" w:eastAsia="zh-CN"/>
        </w:rPr>
        <w:t>：建议电话联系（或者将答疑问题以word文件格式发送至联系人邮件内，并电话联系工作人员查收，</w:t>
      </w:r>
      <w:r>
        <w:rPr>
          <w:rFonts w:hint="eastAsia" w:cs="Times New Roman"/>
          <w:b w:val="0"/>
          <w:bCs w:val="0"/>
          <w:highlight w:val="none"/>
          <w:lang w:val="en-US" w:eastAsia="zh-CN"/>
        </w:rPr>
        <w:t>邮件名格式为：XXX公司（五个字以内公司简称）XX项目答疑文件。同时必须在邮件中以文字方式提供投标人全称、投标授权人姓名、联系方式（固定电话、手机、电子邮箱），并提供法定代表人授权委托书。）</w:t>
      </w:r>
    </w:p>
    <w:p w14:paraId="07C0B551">
      <w:pPr>
        <w:pStyle w:val="76"/>
        <w:numPr>
          <w:ilvl w:val="0"/>
          <w:numId w:val="12"/>
        </w:numPr>
        <w:ind w:left="425" w:leftChars="0" w:hanging="425" w:firstLineChars="0"/>
        <w:jc w:val="both"/>
        <w:rPr>
          <w:rFonts w:hint="eastAsia" w:ascii="宋体" w:hAnsi="Courier New" w:eastAsia="宋体" w:cs="Times New Roman"/>
          <w:highlight w:val="none"/>
          <w:lang w:val="en-US" w:eastAsia="zh-CN"/>
        </w:rPr>
      </w:pPr>
      <w:r>
        <w:rPr>
          <w:rFonts w:hint="eastAsia" w:ascii="宋体" w:hAnsi="Courier New" w:eastAsia="宋体" w:cs="Times New Roman"/>
          <w:highlight w:val="none"/>
          <w:lang w:val="en-US" w:eastAsia="zh-CN"/>
        </w:rPr>
        <w:t>领取答疑、澄清和修改文件时间：</w:t>
      </w:r>
      <w:r>
        <w:rPr>
          <w:rFonts w:hint="eastAsia" w:cs="Times New Roman"/>
          <w:highlight w:val="none"/>
          <w:lang w:val="en-US" w:eastAsia="zh-CN"/>
        </w:rPr>
        <w:t>2026</w:t>
      </w:r>
      <w:r>
        <w:rPr>
          <w:rFonts w:hint="eastAsia" w:ascii="宋体" w:hAnsi="Courier New" w:eastAsia="宋体" w:cs="Times New Roman"/>
          <w:highlight w:val="none"/>
          <w:lang w:val="en-US" w:eastAsia="zh-CN"/>
        </w:rPr>
        <w:t>年</w:t>
      </w:r>
      <w:r>
        <w:rPr>
          <w:rFonts w:hint="eastAsia" w:cs="Times New Roman"/>
          <w:highlight w:val="none"/>
          <w:lang w:val="en-US" w:eastAsia="zh-CN"/>
        </w:rPr>
        <w:t>2</w:t>
      </w:r>
      <w:r>
        <w:rPr>
          <w:rFonts w:hint="eastAsia" w:ascii="宋体" w:hAnsi="Courier New" w:eastAsia="宋体" w:cs="Times New Roman"/>
          <w:highlight w:val="none"/>
          <w:lang w:val="en-US" w:eastAsia="zh-CN"/>
        </w:rPr>
        <w:t>月</w:t>
      </w:r>
      <w:r>
        <w:rPr>
          <w:rFonts w:hint="eastAsia" w:cs="Times New Roman"/>
          <w:highlight w:val="none"/>
          <w:lang w:val="en-US" w:eastAsia="zh-CN"/>
        </w:rPr>
        <w:t>23</w:t>
      </w:r>
      <w:r>
        <w:rPr>
          <w:rFonts w:hint="eastAsia" w:ascii="宋体" w:hAnsi="Courier New" w:eastAsia="宋体" w:cs="Times New Roman"/>
          <w:highlight w:val="none"/>
          <w:lang w:val="en-US" w:eastAsia="zh-CN"/>
        </w:rPr>
        <w:t>日前：</w:t>
      </w:r>
    </w:p>
    <w:p w14:paraId="59AC1516">
      <w:pPr>
        <w:pStyle w:val="76"/>
        <w:keepNext w:val="0"/>
        <w:keepLines w:val="0"/>
        <w:pageBreakBefore w:val="0"/>
        <w:widowControl w:val="0"/>
        <w:numPr>
          <w:ilvl w:val="0"/>
          <w:numId w:val="12"/>
        </w:numPr>
        <w:kinsoku/>
        <w:wordWrap/>
        <w:overflowPunct/>
        <w:topLinePunct w:val="0"/>
        <w:autoSpaceDE/>
        <w:autoSpaceDN/>
        <w:bidi w:val="0"/>
        <w:adjustRightInd/>
        <w:snapToGrid/>
        <w:ind w:left="0" w:leftChars="0" w:firstLine="0" w:firstLineChars="0"/>
        <w:jc w:val="both"/>
        <w:textAlignment w:val="auto"/>
        <w:rPr>
          <w:rFonts w:hint="eastAsia" w:ascii="宋体" w:hAnsi="Courier New" w:eastAsia="宋体" w:cs="Times New Roman"/>
          <w:highlight w:val="none"/>
          <w:lang w:val="en-US" w:eastAsia="zh-CN"/>
        </w:rPr>
      </w:pPr>
      <w:r>
        <w:rPr>
          <w:rFonts w:hint="eastAsia" w:ascii="宋体" w:hAnsi="Courier New" w:eastAsia="宋体" w:cs="Times New Roman"/>
          <w:highlight w:val="none"/>
          <w:lang w:val="en-US" w:eastAsia="zh-CN"/>
        </w:rPr>
        <w:t>答疑、澄清和修改文件方式：招标人将以电子邮件的方式将招标文件的答疑澄清文件发送至答疑文件提交时登记的电子邮箱。</w:t>
      </w:r>
    </w:p>
    <w:p w14:paraId="7AB51490">
      <w:pPr>
        <w:pStyle w:val="76"/>
        <w:numPr>
          <w:ilvl w:val="0"/>
          <w:numId w:val="12"/>
        </w:numPr>
        <w:ind w:left="425" w:leftChars="0" w:hanging="425" w:firstLineChars="0"/>
        <w:jc w:val="both"/>
        <w:rPr>
          <w:rFonts w:hint="eastAsia" w:ascii="宋体" w:hAnsi="Courier New" w:eastAsia="宋体" w:cs="Times New Roman"/>
          <w:highlight w:val="none"/>
          <w:lang w:val="en-US" w:eastAsia="zh-CN"/>
        </w:rPr>
      </w:pPr>
      <w:r>
        <w:rPr>
          <w:rFonts w:hint="eastAsia" w:ascii="宋体" w:hAnsi="Courier New" w:eastAsia="宋体" w:cs="Times New Roman"/>
          <w:highlight w:val="none"/>
          <w:lang w:val="en-US" w:eastAsia="zh-CN"/>
        </w:rPr>
        <w:t>报名方式</w:t>
      </w:r>
      <w:r>
        <w:rPr>
          <w:rFonts w:hint="eastAsia" w:cs="Times New Roman"/>
          <w:highlight w:val="none"/>
          <w:lang w:val="en-US" w:eastAsia="zh-CN"/>
        </w:rPr>
        <w:t>：重汽e采通系统</w:t>
      </w:r>
    </w:p>
    <w:p w14:paraId="6DC2B408">
      <w:pPr>
        <w:pStyle w:val="76"/>
        <w:numPr>
          <w:ilvl w:val="0"/>
          <w:numId w:val="12"/>
        </w:numPr>
        <w:ind w:left="425" w:leftChars="0" w:hanging="425" w:firstLineChars="0"/>
        <w:jc w:val="both"/>
        <w:rPr>
          <w:rFonts w:hint="eastAsia" w:ascii="宋体" w:hAnsi="Courier New" w:eastAsia="宋体" w:cs="Times New Roman"/>
          <w:highlight w:val="yellow"/>
          <w:lang w:val="en-US" w:eastAsia="zh-CN"/>
        </w:rPr>
      </w:pPr>
      <w:r>
        <w:rPr>
          <w:rFonts w:hint="eastAsia" w:ascii="宋体" w:hAnsi="Courier New" w:eastAsia="宋体" w:cs="Times New Roman"/>
          <w:highlight w:val="yellow"/>
          <w:lang w:val="en-US" w:eastAsia="zh-CN"/>
        </w:rPr>
        <w:t>应标截止时间</w:t>
      </w:r>
      <w:r>
        <w:rPr>
          <w:rFonts w:hint="eastAsia" w:cs="Times New Roman"/>
          <w:highlight w:val="yellow"/>
          <w:lang w:val="en-US" w:eastAsia="zh-CN"/>
        </w:rPr>
        <w:t>：2026年2月15日17点00分</w:t>
      </w:r>
    </w:p>
    <w:p w14:paraId="0C785EC5">
      <w:pPr>
        <w:pStyle w:val="72"/>
        <w:rPr>
          <w:rFonts w:hint="eastAsia" w:ascii="宋体" w:hAnsi="Courier New" w:eastAsia="宋体" w:cs="Times New Roman"/>
          <w:highlight w:val="none"/>
          <w:lang w:val="en-US" w:eastAsia="zh-CN"/>
        </w:rPr>
      </w:pPr>
      <w:r>
        <w:rPr>
          <w:rFonts w:hint="eastAsia" w:hAnsi="Courier New" w:cs="Times New Roman"/>
          <w:highlight w:val="none"/>
        </w:rPr>
        <w:t>投标文件</w:t>
      </w:r>
      <w:r>
        <w:rPr>
          <w:rFonts w:hint="eastAsia" w:cs="Times New Roman"/>
          <w:highlight w:val="none"/>
          <w:lang w:val="en-US" w:eastAsia="zh-CN"/>
        </w:rPr>
        <w:t>编制</w:t>
      </w:r>
      <w:bookmarkStart w:id="26" w:name="_GoBack"/>
      <w:bookmarkEnd w:id="26"/>
    </w:p>
    <w:p w14:paraId="59493963">
      <w:pPr>
        <w:pStyle w:val="73"/>
        <w:keepNext w:val="0"/>
        <w:keepLines w:val="0"/>
        <w:pageBreakBefore w:val="0"/>
        <w:widowControl w:val="0"/>
        <w:numPr>
          <w:ilvl w:val="0"/>
          <w:numId w:val="13"/>
        </w:numPr>
        <w:kinsoku/>
        <w:wordWrap/>
        <w:overflowPunct/>
        <w:topLinePunct w:val="0"/>
        <w:autoSpaceDE/>
        <w:autoSpaceDN/>
        <w:bidi w:val="0"/>
        <w:adjustRightInd/>
        <w:snapToGrid/>
        <w:ind w:left="0" w:leftChars="0" w:firstLine="0" w:firstLineChars="0"/>
        <w:textAlignment w:val="auto"/>
        <w:rPr>
          <w:b w:val="0"/>
        </w:rPr>
      </w:pPr>
      <w:r>
        <w:rPr>
          <w:rFonts w:hint="eastAsia"/>
          <w:b w:val="0"/>
          <w:lang w:val="en-US" w:eastAsia="zh-CN"/>
        </w:rPr>
        <w:t>投标文件的组成</w:t>
      </w:r>
    </w:p>
    <w:p w14:paraId="5EA04826">
      <w:pPr>
        <w:pStyle w:val="73"/>
        <w:keepNext w:val="0"/>
        <w:keepLines w:val="0"/>
        <w:pageBreakBefore w:val="0"/>
        <w:widowControl w:val="0"/>
        <w:numPr>
          <w:ilvl w:val="0"/>
          <w:numId w:val="0"/>
        </w:numPr>
        <w:kinsoku/>
        <w:wordWrap/>
        <w:overflowPunct/>
        <w:topLinePunct w:val="0"/>
        <w:autoSpaceDE/>
        <w:autoSpaceDN/>
        <w:bidi w:val="0"/>
        <w:adjustRightInd/>
        <w:snapToGrid/>
        <w:textAlignment w:val="auto"/>
        <w:rPr>
          <w:rFonts w:hint="eastAsia" w:ascii="宋体" w:hAnsi="Courier New" w:eastAsia="宋体" w:cs="Times New Roman"/>
          <w:b w:val="0"/>
          <w:bCs/>
          <w:highlight w:val="none"/>
          <w:lang w:val="en-US" w:eastAsia="zh-CN"/>
        </w:rPr>
      </w:pPr>
      <w:r>
        <w:rPr>
          <w:rFonts w:hint="eastAsia" w:ascii="宋体" w:hAnsi="Courier New" w:eastAsia="宋体" w:cs="Times New Roman"/>
          <w:b w:val="0"/>
          <w:bCs/>
          <w:highlight w:val="none"/>
          <w:lang w:val="en-US" w:eastAsia="zh-CN"/>
        </w:rPr>
        <w:t>投标人编写的投标文件由《投标文件（资质标）》、《投标文件（</w:t>
      </w:r>
      <w:r>
        <w:rPr>
          <w:rFonts w:hint="eastAsia" w:cs="Times New Roman"/>
          <w:b w:val="0"/>
          <w:bCs/>
          <w:highlight w:val="none"/>
          <w:lang w:val="en-US" w:eastAsia="zh-CN"/>
        </w:rPr>
        <w:t>技术</w:t>
      </w:r>
      <w:r>
        <w:rPr>
          <w:rFonts w:hint="eastAsia" w:ascii="宋体" w:hAnsi="Courier New" w:eastAsia="宋体" w:cs="Times New Roman"/>
          <w:b w:val="0"/>
          <w:bCs/>
          <w:highlight w:val="none"/>
          <w:lang w:val="en-US" w:eastAsia="zh-CN"/>
        </w:rPr>
        <w:t>标）》《投标文件（商务标）》（开标一览表）文件组成，共计</w:t>
      </w:r>
      <w:r>
        <w:rPr>
          <w:rFonts w:hint="eastAsia" w:ascii="宋体" w:hAnsi="Courier New" w:eastAsia="宋体" w:cs="Times New Roman"/>
          <w:b w:val="0"/>
          <w:bCs/>
          <w:highlight w:val="none"/>
          <w:u w:val="single"/>
          <w:lang w:val="en-US" w:eastAsia="zh-CN"/>
        </w:rPr>
        <w:t xml:space="preserve"> </w:t>
      </w:r>
      <w:r>
        <w:rPr>
          <w:rFonts w:hint="eastAsia" w:cs="Times New Roman"/>
          <w:b w:val="0"/>
          <w:bCs/>
          <w:highlight w:val="none"/>
          <w:u w:val="single"/>
          <w:lang w:val="en-US" w:eastAsia="zh-CN"/>
        </w:rPr>
        <w:t>3</w:t>
      </w:r>
      <w:r>
        <w:rPr>
          <w:rFonts w:hint="eastAsia" w:ascii="宋体" w:hAnsi="Courier New" w:eastAsia="宋体" w:cs="Times New Roman"/>
          <w:b w:val="0"/>
          <w:bCs/>
          <w:highlight w:val="none"/>
          <w:lang w:val="en-US" w:eastAsia="zh-CN"/>
        </w:rPr>
        <w:t>个文件。</w:t>
      </w:r>
    </w:p>
    <w:p w14:paraId="2DD7BA97">
      <w:pPr>
        <w:pStyle w:val="74"/>
        <w:numPr>
          <w:ilvl w:val="0"/>
          <w:numId w:val="14"/>
        </w:numPr>
        <w:ind w:left="425" w:leftChars="0" w:hanging="425" w:firstLineChars="0"/>
        <w:rPr>
          <w:b w:val="0"/>
          <w:bCs/>
          <w:highlight w:val="yellow"/>
        </w:rPr>
      </w:pPr>
      <w:r>
        <w:rPr>
          <w:rFonts w:hint="eastAsia"/>
          <w:b w:val="0"/>
          <w:bCs/>
          <w:highlight w:val="yellow"/>
        </w:rPr>
        <w:t>资质文件：</w:t>
      </w:r>
    </w:p>
    <w:p w14:paraId="13BAC003">
      <w:pPr>
        <w:pStyle w:val="75"/>
        <w:numPr>
          <w:ilvl w:val="0"/>
          <w:numId w:val="15"/>
        </w:numPr>
        <w:ind w:left="425" w:leftChars="0" w:hanging="425" w:firstLineChars="0"/>
        <w:rPr>
          <w:b w:val="0"/>
          <w:bCs/>
          <w:highlight w:val="none"/>
        </w:rPr>
      </w:pPr>
      <w:r>
        <w:rPr>
          <w:rFonts w:hint="eastAsia"/>
          <w:b w:val="0"/>
          <w:bCs/>
          <w:highlight w:val="none"/>
        </w:rPr>
        <w:t>法定代表人身份证明；</w:t>
      </w:r>
    </w:p>
    <w:p w14:paraId="4DBDF119">
      <w:pPr>
        <w:pStyle w:val="75"/>
        <w:numPr>
          <w:ilvl w:val="0"/>
          <w:numId w:val="15"/>
        </w:numPr>
        <w:ind w:left="425" w:leftChars="0" w:hanging="425" w:firstLineChars="0"/>
        <w:rPr>
          <w:b w:val="0"/>
          <w:bCs/>
          <w:highlight w:val="none"/>
        </w:rPr>
      </w:pPr>
      <w:r>
        <w:rPr>
          <w:rFonts w:hint="eastAsia"/>
          <w:b w:val="0"/>
          <w:bCs/>
          <w:highlight w:val="none"/>
        </w:rPr>
        <w:t>法定代表人授权委托书（授权人需带身份证原件）；</w:t>
      </w:r>
    </w:p>
    <w:p w14:paraId="73FE5F95">
      <w:pPr>
        <w:pStyle w:val="75"/>
        <w:numPr>
          <w:ilvl w:val="0"/>
          <w:numId w:val="15"/>
        </w:numPr>
        <w:ind w:left="425" w:leftChars="0" w:hanging="425" w:firstLineChars="0"/>
        <w:rPr>
          <w:b w:val="0"/>
          <w:bCs/>
          <w:highlight w:val="none"/>
        </w:rPr>
      </w:pPr>
      <w:r>
        <w:rPr>
          <w:rFonts w:hint="eastAsia"/>
          <w:b w:val="0"/>
          <w:bCs/>
          <w:highlight w:val="none"/>
        </w:rPr>
        <w:t>营业执照副本原件</w:t>
      </w:r>
      <w:r>
        <w:rPr>
          <w:rFonts w:hint="eastAsia"/>
          <w:b w:val="0"/>
          <w:bCs/>
          <w:highlight w:val="none"/>
          <w:lang w:val="en-US" w:eastAsia="zh-CN"/>
        </w:rPr>
        <w:t>或复印件并加盖公章</w:t>
      </w:r>
      <w:r>
        <w:rPr>
          <w:rFonts w:hint="eastAsia"/>
          <w:b w:val="0"/>
          <w:bCs/>
          <w:highlight w:val="none"/>
        </w:rPr>
        <w:t>；</w:t>
      </w:r>
    </w:p>
    <w:p w14:paraId="6A7B69C9">
      <w:pPr>
        <w:pStyle w:val="75"/>
        <w:keepNext w:val="0"/>
        <w:keepLines w:val="0"/>
        <w:pageBreakBefore w:val="0"/>
        <w:widowControl w:val="0"/>
        <w:numPr>
          <w:ilvl w:val="0"/>
          <w:numId w:val="15"/>
        </w:numPr>
        <w:kinsoku/>
        <w:wordWrap/>
        <w:overflowPunct/>
        <w:topLinePunct w:val="0"/>
        <w:autoSpaceDE/>
        <w:autoSpaceDN/>
        <w:bidi w:val="0"/>
        <w:adjustRightInd/>
        <w:snapToGrid/>
        <w:ind w:left="0" w:leftChars="0" w:firstLine="0" w:firstLineChars="0"/>
        <w:textAlignment w:val="auto"/>
        <w:rPr>
          <w:b w:val="0"/>
          <w:bCs/>
          <w:highlight w:val="none"/>
        </w:rPr>
      </w:pPr>
      <w:r>
        <w:rPr>
          <w:rFonts w:hint="eastAsia"/>
          <w:b w:val="0"/>
          <w:bCs/>
          <w:highlight w:val="none"/>
        </w:rPr>
        <w:t>证明投标人满足投标资料表中列出的业绩要求的文件</w:t>
      </w:r>
      <w:r>
        <w:rPr>
          <w:rFonts w:hint="eastAsia"/>
          <w:b w:val="0"/>
          <w:bCs/>
          <w:highlight w:val="none"/>
          <w:lang w:eastAsia="zh-CN"/>
        </w:rPr>
        <w:t>；</w:t>
      </w:r>
    </w:p>
    <w:p w14:paraId="2E43C7FD">
      <w:pPr>
        <w:pStyle w:val="75"/>
        <w:keepNext w:val="0"/>
        <w:keepLines w:val="0"/>
        <w:pageBreakBefore w:val="0"/>
        <w:widowControl w:val="0"/>
        <w:numPr>
          <w:ilvl w:val="0"/>
          <w:numId w:val="15"/>
        </w:numPr>
        <w:kinsoku/>
        <w:wordWrap/>
        <w:overflowPunct/>
        <w:topLinePunct w:val="0"/>
        <w:autoSpaceDE/>
        <w:autoSpaceDN/>
        <w:bidi w:val="0"/>
        <w:adjustRightInd/>
        <w:snapToGrid/>
        <w:ind w:left="0" w:leftChars="0" w:firstLine="0" w:firstLineChars="0"/>
        <w:textAlignment w:val="auto"/>
        <w:rPr>
          <w:b w:val="0"/>
          <w:bCs/>
          <w:highlight w:val="none"/>
        </w:rPr>
      </w:pPr>
      <w:r>
        <w:rPr>
          <w:rFonts w:hint="eastAsia" w:hAnsi="Courier New"/>
          <w:b w:val="0"/>
          <w:bCs/>
          <w:highlight w:val="none"/>
        </w:rPr>
        <w:t>经会计师事务所审计且出具无保留意见的近三年的财务审计报告原件，并加盖公章，包括但不限于报告页、经审计的资产负债表、利润表、现金流量表及报表附注。如投标人公司没有经审计的财务报告，可提供加盖公章的近三年财务报表，包括但不限于资产负债表、利润表、现金流量表。应提供中文版本的审计报告或财务报表；</w:t>
      </w:r>
    </w:p>
    <w:p w14:paraId="7CB7B902">
      <w:pPr>
        <w:pStyle w:val="75"/>
        <w:numPr>
          <w:ilvl w:val="0"/>
          <w:numId w:val="15"/>
        </w:numPr>
        <w:ind w:left="425" w:leftChars="0" w:hanging="425" w:firstLineChars="0"/>
        <w:rPr>
          <w:rFonts w:hint="eastAsia" w:hAnsi="Courier New"/>
          <w:b w:val="0"/>
          <w:bCs/>
          <w:highlight w:val="none"/>
        </w:rPr>
      </w:pPr>
      <w:r>
        <w:rPr>
          <w:rFonts w:hint="eastAsia" w:hAnsi="Courier New"/>
          <w:b w:val="0"/>
          <w:bCs/>
          <w:highlight w:val="none"/>
        </w:rPr>
        <w:t>企业最近半年完税证明、信用证明材料（征信报告）；</w:t>
      </w:r>
    </w:p>
    <w:p w14:paraId="2F1917FF">
      <w:pPr>
        <w:pStyle w:val="75"/>
        <w:numPr>
          <w:ilvl w:val="0"/>
          <w:numId w:val="15"/>
        </w:numPr>
        <w:ind w:left="425" w:leftChars="0" w:hanging="425" w:firstLineChars="0"/>
        <w:rPr>
          <w:rFonts w:hint="eastAsia" w:hAnsi="Courier New"/>
          <w:b w:val="0"/>
          <w:bCs/>
          <w:highlight w:val="none"/>
        </w:rPr>
      </w:pPr>
      <w:r>
        <w:rPr>
          <w:rFonts w:hint="eastAsia" w:hAnsi="Courier New"/>
          <w:b w:val="0"/>
          <w:bCs/>
          <w:highlight w:val="none"/>
        </w:rPr>
        <w:t>年度纳税信用评价信息（可从电子税务局查询截图，需加盖公章）；</w:t>
      </w:r>
    </w:p>
    <w:p w14:paraId="66CC3FFB">
      <w:pPr>
        <w:pStyle w:val="75"/>
        <w:numPr>
          <w:ilvl w:val="0"/>
          <w:numId w:val="15"/>
        </w:numPr>
        <w:ind w:left="425" w:leftChars="0" w:hanging="425" w:firstLineChars="0"/>
        <w:rPr>
          <w:rFonts w:hint="eastAsia" w:hAnsi="Courier New"/>
          <w:b w:val="0"/>
          <w:bCs/>
          <w:highlight w:val="none"/>
        </w:rPr>
      </w:pPr>
      <w:r>
        <w:rPr>
          <w:rFonts w:hint="eastAsia" w:hAnsi="Courier New"/>
          <w:b w:val="0"/>
          <w:bCs/>
          <w:highlight w:val="none"/>
        </w:rPr>
        <w:t>企业对外担保说明（写明贵单位对外有无对外担保和质押业务，需加盖公章）。</w:t>
      </w:r>
    </w:p>
    <w:p w14:paraId="49857420">
      <w:pPr>
        <w:pStyle w:val="75"/>
        <w:numPr>
          <w:ilvl w:val="0"/>
          <w:numId w:val="15"/>
        </w:numPr>
        <w:ind w:left="425" w:leftChars="0" w:hanging="425" w:firstLineChars="0"/>
        <w:rPr>
          <w:b w:val="0"/>
          <w:bCs/>
          <w:highlight w:val="none"/>
        </w:rPr>
      </w:pPr>
      <w:r>
        <w:rPr>
          <w:rFonts w:hint="eastAsia"/>
          <w:b w:val="0"/>
          <w:bCs/>
          <w:highlight w:val="none"/>
        </w:rPr>
        <w:t>信用中国截图或国家企业信用信息公示系统截图；</w:t>
      </w:r>
    </w:p>
    <w:p w14:paraId="0FCAA68A">
      <w:pPr>
        <w:pStyle w:val="75"/>
        <w:keepNext w:val="0"/>
        <w:keepLines w:val="0"/>
        <w:pageBreakBefore w:val="0"/>
        <w:widowControl w:val="0"/>
        <w:numPr>
          <w:ilvl w:val="0"/>
          <w:numId w:val="16"/>
        </w:numPr>
        <w:kinsoku/>
        <w:wordWrap/>
        <w:overflowPunct/>
        <w:topLinePunct w:val="0"/>
        <w:autoSpaceDE/>
        <w:autoSpaceDN/>
        <w:bidi w:val="0"/>
        <w:adjustRightInd/>
        <w:snapToGrid/>
        <w:ind w:left="10" w:leftChars="0" w:firstLine="0"/>
        <w:textAlignment w:val="auto"/>
        <w:rPr>
          <w:b w:val="0"/>
          <w:bCs/>
          <w:highlight w:val="none"/>
        </w:rPr>
      </w:pPr>
      <w:r>
        <w:rPr>
          <w:rFonts w:hint="eastAsia"/>
          <w:b w:val="0"/>
          <w:bCs/>
          <w:highlight w:val="none"/>
        </w:rPr>
        <w:t>对于投标人资质审核不通过的，招标人有权拒绝其投标。</w:t>
      </w:r>
    </w:p>
    <w:p w14:paraId="47175D6D">
      <w:pPr>
        <w:pStyle w:val="74"/>
        <w:numPr>
          <w:ilvl w:val="0"/>
          <w:numId w:val="14"/>
        </w:numPr>
        <w:ind w:left="425" w:leftChars="0" w:hanging="425" w:firstLineChars="0"/>
        <w:rPr>
          <w:rFonts w:hint="eastAsia" w:cs="Times New Roman"/>
          <w:b w:val="0"/>
          <w:bCs/>
          <w:highlight w:val="yellow"/>
        </w:rPr>
      </w:pPr>
      <w:r>
        <w:rPr>
          <w:rFonts w:hint="eastAsia" w:cs="Times New Roman"/>
          <w:b w:val="0"/>
          <w:bCs/>
          <w:highlight w:val="yellow"/>
        </w:rPr>
        <w:t>商务标：</w:t>
      </w:r>
    </w:p>
    <w:p w14:paraId="1FEC8CF2">
      <w:pPr>
        <w:pStyle w:val="75"/>
        <w:keepNext w:val="0"/>
        <w:keepLines w:val="0"/>
        <w:pageBreakBefore w:val="0"/>
        <w:widowControl w:val="0"/>
        <w:numPr>
          <w:ilvl w:val="0"/>
          <w:numId w:val="17"/>
        </w:numPr>
        <w:kinsoku/>
        <w:wordWrap/>
        <w:overflowPunct/>
        <w:topLinePunct w:val="0"/>
        <w:autoSpaceDE/>
        <w:autoSpaceDN/>
        <w:bidi w:val="0"/>
        <w:adjustRightInd/>
        <w:snapToGrid/>
        <w:ind w:left="425" w:leftChars="0" w:hanging="425" w:firstLineChars="0"/>
        <w:textAlignment w:val="auto"/>
        <w:rPr>
          <w:b w:val="0"/>
          <w:bCs/>
          <w:highlight w:val="none"/>
        </w:rPr>
      </w:pPr>
      <w:r>
        <w:rPr>
          <w:rFonts w:hint="eastAsia"/>
          <w:b w:val="0"/>
          <w:bCs/>
          <w:highlight w:val="none"/>
          <w:lang w:val="en-US" w:eastAsia="zh-CN"/>
        </w:rPr>
        <w:t>开标一览表</w:t>
      </w:r>
    </w:p>
    <w:p w14:paraId="5526EC64">
      <w:pPr>
        <w:pStyle w:val="75"/>
        <w:numPr>
          <w:ilvl w:val="0"/>
          <w:numId w:val="17"/>
        </w:numPr>
        <w:ind w:left="425" w:leftChars="0" w:hanging="425" w:firstLineChars="0"/>
        <w:rPr>
          <w:b w:val="0"/>
          <w:bCs/>
          <w:highlight w:val="none"/>
        </w:rPr>
      </w:pPr>
      <w:r>
        <w:rPr>
          <w:rFonts w:hint="eastAsia"/>
          <w:b w:val="0"/>
          <w:bCs/>
          <w:highlight w:val="none"/>
        </w:rPr>
        <w:t>投标函（格式见附件）;</w:t>
      </w:r>
    </w:p>
    <w:p w14:paraId="29410697">
      <w:pPr>
        <w:pStyle w:val="75"/>
        <w:numPr>
          <w:ilvl w:val="0"/>
          <w:numId w:val="17"/>
        </w:numPr>
        <w:ind w:left="425" w:leftChars="0" w:hanging="425" w:firstLineChars="0"/>
        <w:rPr>
          <w:b w:val="0"/>
          <w:bCs/>
          <w:highlight w:val="none"/>
        </w:rPr>
      </w:pPr>
      <w:r>
        <w:rPr>
          <w:rFonts w:hint="eastAsia"/>
        </w:rPr>
        <w:t>报价单（</w:t>
      </w:r>
      <w:r>
        <w:rPr>
          <w:rFonts w:hint="eastAsia"/>
          <w:b w:val="0"/>
          <w:bCs w:val="0"/>
          <w:sz w:val="24"/>
          <w:szCs w:val="24"/>
          <w:lang w:val="en-US" w:eastAsia="zh-CN"/>
        </w:rPr>
        <w:t>详见附后</w:t>
      </w:r>
      <w:r>
        <w:rPr>
          <w:rFonts w:hint="eastAsia"/>
          <w:sz w:val="24"/>
          <w:szCs w:val="24"/>
        </w:rPr>
        <w:t>格式</w:t>
      </w:r>
      <w:r>
        <w:rPr>
          <w:rFonts w:hint="eastAsia"/>
          <w:sz w:val="24"/>
          <w:szCs w:val="24"/>
          <w:lang w:val="en-US" w:eastAsia="zh-CN"/>
        </w:rPr>
        <w:t>2</w:t>
      </w:r>
      <w:r>
        <w:rPr>
          <w:rFonts w:hint="eastAsia"/>
        </w:rPr>
        <w:t>）</w:t>
      </w:r>
    </w:p>
    <w:p w14:paraId="0A288B6C">
      <w:pPr>
        <w:pStyle w:val="75"/>
        <w:numPr>
          <w:ilvl w:val="0"/>
          <w:numId w:val="17"/>
        </w:numPr>
        <w:ind w:left="425" w:leftChars="0" w:hanging="425" w:firstLineChars="0"/>
        <w:rPr>
          <w:b w:val="0"/>
          <w:bCs/>
          <w:highlight w:val="none"/>
        </w:rPr>
      </w:pPr>
      <w:r>
        <w:rPr>
          <w:rFonts w:hint="eastAsia"/>
        </w:rPr>
        <w:t>商务条款偏离表（</w:t>
      </w:r>
      <w:r>
        <w:rPr>
          <w:rFonts w:hint="eastAsia"/>
          <w:b w:val="0"/>
          <w:bCs w:val="0"/>
          <w:sz w:val="24"/>
          <w:szCs w:val="24"/>
          <w:lang w:val="en-US" w:eastAsia="zh-CN"/>
        </w:rPr>
        <w:t>详见附后格式3</w:t>
      </w:r>
      <w:r>
        <w:rPr>
          <w:rFonts w:hint="eastAsia"/>
        </w:rPr>
        <w:t>）</w:t>
      </w:r>
    </w:p>
    <w:p w14:paraId="53DECED4">
      <w:pPr>
        <w:pStyle w:val="75"/>
        <w:keepNext w:val="0"/>
        <w:keepLines w:val="0"/>
        <w:pageBreakBefore w:val="0"/>
        <w:widowControl w:val="0"/>
        <w:numPr>
          <w:ilvl w:val="0"/>
          <w:numId w:val="16"/>
        </w:numPr>
        <w:kinsoku/>
        <w:wordWrap/>
        <w:overflowPunct/>
        <w:topLinePunct w:val="0"/>
        <w:autoSpaceDE/>
        <w:autoSpaceDN/>
        <w:bidi w:val="0"/>
        <w:adjustRightInd/>
        <w:snapToGrid/>
        <w:ind w:left="10" w:leftChars="0" w:firstLine="0"/>
        <w:textAlignment w:val="auto"/>
        <w:rPr>
          <w:rFonts w:hint="default" w:cs="Times New Roman"/>
          <w:b w:val="0"/>
          <w:bCs/>
          <w:highlight w:val="none"/>
          <w:lang w:val="en-US" w:eastAsia="zh-CN"/>
        </w:rPr>
      </w:pPr>
      <w:r>
        <w:rPr>
          <w:rFonts w:hint="eastAsia" w:cs="Times New Roman"/>
          <w:b w:val="0"/>
          <w:bCs/>
          <w:highlight w:val="none"/>
          <w:lang w:val="en-US" w:eastAsia="zh-CN"/>
        </w:rPr>
        <w:t>商务报价注意内容：</w:t>
      </w:r>
      <w:r>
        <w:rPr>
          <w:rFonts w:hint="eastAsia" w:cs="Times New Roman"/>
          <w:b w:val="0"/>
          <w:bCs/>
          <w:highlight w:val="none"/>
        </w:rPr>
        <w:t>最高投标限价（招标控制价）：人民币</w:t>
      </w:r>
      <w:r>
        <w:rPr>
          <w:rFonts w:hint="eastAsia" w:cs="Times New Roman"/>
          <w:b w:val="0"/>
          <w:bCs/>
          <w:highlight w:val="yellow"/>
          <w:u w:val="single"/>
          <w:lang w:val="en-US" w:eastAsia="zh-CN"/>
        </w:rPr>
        <w:t xml:space="preserve">  8.16 </w:t>
      </w:r>
      <w:r>
        <w:rPr>
          <w:rFonts w:hint="eastAsia" w:cs="Times New Roman"/>
          <w:b w:val="0"/>
          <w:bCs/>
          <w:highlight w:val="none"/>
        </w:rPr>
        <w:t>万元（含</w:t>
      </w:r>
      <w:r>
        <w:rPr>
          <w:rFonts w:hint="eastAsia" w:cs="Times New Roman"/>
          <w:b w:val="0"/>
          <w:bCs/>
          <w:highlight w:val="yellow"/>
          <w:u w:val="single"/>
          <w:lang w:val="en-US" w:eastAsia="zh-CN"/>
        </w:rPr>
        <w:t xml:space="preserve"> 13  </w:t>
      </w:r>
      <w:r>
        <w:rPr>
          <w:rFonts w:hint="eastAsia" w:cs="Times New Roman"/>
          <w:b w:val="0"/>
          <w:bCs/>
          <w:highlight w:val="none"/>
        </w:rPr>
        <w:t>%增值税），超过投标限价无法投标。</w:t>
      </w:r>
    </w:p>
    <w:p w14:paraId="0285E932">
      <w:pPr>
        <w:pStyle w:val="75"/>
        <w:keepNext w:val="0"/>
        <w:keepLines w:val="0"/>
        <w:pageBreakBefore w:val="0"/>
        <w:widowControl w:val="0"/>
        <w:numPr>
          <w:ilvl w:val="0"/>
          <w:numId w:val="14"/>
        </w:numPr>
        <w:kinsoku/>
        <w:wordWrap/>
        <w:overflowPunct/>
        <w:topLinePunct w:val="0"/>
        <w:autoSpaceDE/>
        <w:autoSpaceDN/>
        <w:bidi w:val="0"/>
        <w:adjustRightInd/>
        <w:snapToGrid/>
        <w:ind w:left="425" w:leftChars="0" w:hanging="425" w:firstLineChars="0"/>
        <w:textAlignment w:val="auto"/>
        <w:rPr>
          <w:rFonts w:hint="eastAsia" w:cs="Times New Roman"/>
          <w:b w:val="0"/>
          <w:bCs/>
          <w:highlight w:val="yellow"/>
          <w:lang w:val="en-US" w:eastAsia="zh-CN"/>
        </w:rPr>
      </w:pPr>
      <w:r>
        <w:rPr>
          <w:rFonts w:hint="eastAsia" w:cs="Times New Roman"/>
          <w:b w:val="0"/>
          <w:bCs/>
          <w:highlight w:val="yellow"/>
          <w:lang w:val="en-US" w:eastAsia="zh-CN"/>
        </w:rPr>
        <w:t>技术标</w:t>
      </w:r>
    </w:p>
    <w:p w14:paraId="21E3BA90">
      <w:pPr>
        <w:pStyle w:val="111"/>
        <w:spacing w:line="360" w:lineRule="auto"/>
        <w:ind w:left="0" w:leftChars="0" w:firstLine="0" w:firstLineChars="0"/>
        <w:jc w:val="left"/>
        <w:rPr>
          <w:rFonts w:hint="eastAsia"/>
          <w:sz w:val="21"/>
          <w:szCs w:val="21"/>
        </w:rPr>
      </w:pPr>
      <w:r>
        <w:rPr>
          <w:rFonts w:hint="eastAsia"/>
          <w:sz w:val="21"/>
          <w:szCs w:val="21"/>
        </w:rPr>
        <w:t>(</w:t>
      </w:r>
      <w:r>
        <w:rPr>
          <w:sz w:val="21"/>
          <w:szCs w:val="21"/>
        </w:rPr>
        <w:t>1</w:t>
      </w:r>
      <w:r>
        <w:rPr>
          <w:rFonts w:hint="eastAsia"/>
          <w:sz w:val="21"/>
          <w:szCs w:val="21"/>
        </w:rPr>
        <w:t>)工装制作</w:t>
      </w:r>
      <w:r>
        <w:rPr>
          <w:rFonts w:hint="eastAsia"/>
          <w:sz w:val="21"/>
          <w:szCs w:val="21"/>
          <w:highlight w:val="none"/>
          <w:lang w:eastAsia="zh-CN"/>
        </w:rPr>
        <w:t>（</w:t>
      </w:r>
      <w:r>
        <w:rPr>
          <w:rFonts w:hint="eastAsia"/>
          <w:sz w:val="21"/>
          <w:szCs w:val="21"/>
          <w:highlight w:val="none"/>
          <w:lang w:val="en-US" w:eastAsia="zh-CN"/>
        </w:rPr>
        <w:t>修改</w:t>
      </w:r>
      <w:r>
        <w:rPr>
          <w:rFonts w:hint="eastAsia"/>
          <w:sz w:val="21"/>
          <w:szCs w:val="21"/>
          <w:highlight w:val="none"/>
          <w:lang w:eastAsia="zh-CN"/>
        </w:rPr>
        <w:t>）</w:t>
      </w:r>
      <w:r>
        <w:rPr>
          <w:rFonts w:hint="eastAsia"/>
          <w:sz w:val="21"/>
          <w:szCs w:val="21"/>
        </w:rPr>
        <w:t>方案总体描述</w:t>
      </w:r>
    </w:p>
    <w:p w14:paraId="7BD5E13A">
      <w:pPr>
        <w:pStyle w:val="111"/>
        <w:spacing w:line="360" w:lineRule="auto"/>
        <w:ind w:left="0" w:leftChars="0" w:firstLine="0" w:firstLineChars="0"/>
        <w:jc w:val="left"/>
        <w:rPr>
          <w:rFonts w:hint="eastAsia"/>
          <w:sz w:val="21"/>
          <w:szCs w:val="21"/>
        </w:rPr>
      </w:pPr>
      <w:r>
        <w:rPr>
          <w:rFonts w:hint="eastAsia"/>
          <w:sz w:val="21"/>
          <w:szCs w:val="21"/>
        </w:rPr>
        <w:t>(2)关键加工设备（提供设备品牌型号、技术参数等信息）</w:t>
      </w:r>
    </w:p>
    <w:p w14:paraId="50FA61D8">
      <w:pPr>
        <w:pStyle w:val="111"/>
        <w:spacing w:line="360" w:lineRule="auto"/>
        <w:ind w:left="0" w:leftChars="0" w:firstLine="0" w:firstLineChars="0"/>
        <w:jc w:val="left"/>
        <w:rPr>
          <w:rFonts w:hint="eastAsia"/>
          <w:sz w:val="21"/>
          <w:szCs w:val="21"/>
        </w:rPr>
      </w:pPr>
      <w:r>
        <w:rPr>
          <w:rFonts w:hint="eastAsia"/>
          <w:sz w:val="21"/>
          <w:szCs w:val="21"/>
        </w:rPr>
        <w:t>(3)检测设备（提供设备品牌型号、技术参数等信息）</w:t>
      </w:r>
    </w:p>
    <w:p w14:paraId="04BE8DFF">
      <w:pPr>
        <w:pStyle w:val="111"/>
        <w:spacing w:line="360" w:lineRule="auto"/>
        <w:ind w:left="0" w:leftChars="0" w:firstLine="0" w:firstLineChars="0"/>
        <w:jc w:val="left"/>
        <w:rPr>
          <w:rFonts w:hint="eastAsia"/>
          <w:sz w:val="21"/>
          <w:szCs w:val="21"/>
        </w:rPr>
      </w:pPr>
      <w:r>
        <w:rPr>
          <w:rFonts w:hint="eastAsia"/>
          <w:sz w:val="21"/>
          <w:szCs w:val="21"/>
        </w:rPr>
        <w:t>(4)工装模具设计能力</w:t>
      </w:r>
      <w:r>
        <w:rPr>
          <w:sz w:val="21"/>
          <w:szCs w:val="21"/>
        </w:rPr>
        <w:t>及制作工艺水平（</w:t>
      </w:r>
      <w:r>
        <w:rPr>
          <w:rFonts w:hint="eastAsia"/>
          <w:sz w:val="21"/>
          <w:szCs w:val="21"/>
        </w:rPr>
        <w:t>提供中高级职称人员证书复印件及社保参保证明；</w:t>
      </w:r>
      <w:r>
        <w:rPr>
          <w:sz w:val="21"/>
          <w:szCs w:val="21"/>
        </w:rPr>
        <w:t>制作工艺描述等）</w:t>
      </w:r>
    </w:p>
    <w:p w14:paraId="41724B36">
      <w:pPr>
        <w:pStyle w:val="111"/>
        <w:spacing w:line="360" w:lineRule="auto"/>
        <w:ind w:left="0" w:leftChars="0" w:firstLine="0" w:firstLineChars="0"/>
        <w:jc w:val="left"/>
        <w:rPr>
          <w:rFonts w:hint="eastAsia"/>
          <w:sz w:val="21"/>
          <w:szCs w:val="21"/>
        </w:rPr>
      </w:pPr>
      <w:r>
        <w:rPr>
          <w:rFonts w:hint="eastAsia"/>
          <w:sz w:val="21"/>
          <w:szCs w:val="21"/>
        </w:rPr>
        <w:t>(5)计算机模拟能力</w:t>
      </w:r>
      <w:r>
        <w:rPr>
          <w:sz w:val="21"/>
          <w:szCs w:val="21"/>
        </w:rPr>
        <w:t>（</w:t>
      </w:r>
      <w:r>
        <w:rPr>
          <w:rFonts w:hint="eastAsia"/>
          <w:sz w:val="21"/>
          <w:szCs w:val="21"/>
        </w:rPr>
        <w:t>提供三维设计</w:t>
      </w:r>
      <w:r>
        <w:rPr>
          <w:rFonts w:hint="eastAsia"/>
          <w:sz w:val="21"/>
          <w:szCs w:val="21"/>
          <w:lang w:eastAsia="zh-CN"/>
        </w:rPr>
        <w:t>、</w:t>
      </w:r>
      <w:r>
        <w:rPr>
          <w:rFonts w:hint="eastAsia"/>
          <w:sz w:val="21"/>
          <w:szCs w:val="21"/>
          <w:lang w:val="en-US" w:eastAsia="zh-CN"/>
        </w:rPr>
        <w:t>模拟</w:t>
      </w:r>
      <w:r>
        <w:rPr>
          <w:rFonts w:hint="eastAsia"/>
          <w:sz w:val="21"/>
          <w:szCs w:val="21"/>
        </w:rPr>
        <w:t>软件等资料信息）</w:t>
      </w:r>
    </w:p>
    <w:p w14:paraId="714C7AED">
      <w:pPr>
        <w:pStyle w:val="111"/>
        <w:spacing w:line="360" w:lineRule="auto"/>
        <w:ind w:left="0" w:leftChars="0" w:firstLine="0" w:firstLineChars="0"/>
        <w:jc w:val="left"/>
        <w:rPr>
          <w:rFonts w:hint="eastAsia"/>
          <w:sz w:val="21"/>
          <w:szCs w:val="21"/>
        </w:rPr>
      </w:pPr>
      <w:r>
        <w:rPr>
          <w:rFonts w:hint="eastAsia"/>
          <w:sz w:val="21"/>
          <w:szCs w:val="21"/>
        </w:rPr>
        <w:t>(6)质保期及售后服务能力</w:t>
      </w:r>
    </w:p>
    <w:p w14:paraId="325FDB0B">
      <w:pPr>
        <w:pStyle w:val="111"/>
        <w:spacing w:line="360" w:lineRule="auto"/>
        <w:ind w:left="0" w:leftChars="0" w:firstLine="0" w:firstLineChars="0"/>
        <w:jc w:val="left"/>
        <w:rPr>
          <w:rFonts w:hint="eastAsia"/>
          <w:sz w:val="21"/>
          <w:szCs w:val="21"/>
        </w:rPr>
      </w:pPr>
      <w:r>
        <w:rPr>
          <w:rFonts w:hint="eastAsia"/>
          <w:sz w:val="21"/>
          <w:szCs w:val="21"/>
        </w:rPr>
        <w:t>(7)产品供货计划或生产加工计划</w:t>
      </w:r>
    </w:p>
    <w:p w14:paraId="624CCA2A">
      <w:pPr>
        <w:pStyle w:val="111"/>
        <w:spacing w:line="360" w:lineRule="auto"/>
        <w:ind w:left="0" w:leftChars="0" w:firstLine="0" w:firstLineChars="0"/>
        <w:jc w:val="left"/>
        <w:rPr>
          <w:rFonts w:hint="eastAsia"/>
          <w:sz w:val="21"/>
          <w:szCs w:val="21"/>
        </w:rPr>
      </w:pPr>
      <w:r>
        <w:rPr>
          <w:rFonts w:hint="eastAsia"/>
          <w:sz w:val="21"/>
          <w:szCs w:val="21"/>
          <w:lang w:val="en-US" w:eastAsia="zh-CN"/>
        </w:rPr>
        <w:t>(</w:t>
      </w:r>
      <w:r>
        <w:rPr>
          <w:rFonts w:hint="eastAsia"/>
          <w:sz w:val="21"/>
          <w:szCs w:val="21"/>
        </w:rPr>
        <w:t>8</w:t>
      </w:r>
      <w:r>
        <w:rPr>
          <w:rFonts w:hint="eastAsia"/>
          <w:sz w:val="21"/>
          <w:szCs w:val="21"/>
          <w:lang w:val="en-US" w:eastAsia="zh-CN"/>
        </w:rPr>
        <w:t>)</w:t>
      </w:r>
      <w:r>
        <w:rPr>
          <w:rFonts w:hint="eastAsia"/>
          <w:sz w:val="21"/>
          <w:szCs w:val="21"/>
        </w:rPr>
        <w:t>类似业绩并提供合同复印件（</w:t>
      </w:r>
      <w:r>
        <w:rPr>
          <w:rFonts w:hint="eastAsia"/>
          <w:sz w:val="21"/>
          <w:szCs w:val="21"/>
          <w:lang w:val="en-US" w:eastAsia="zh-CN"/>
        </w:rPr>
        <w:t>详见附件</w:t>
      </w:r>
      <w:r>
        <w:rPr>
          <w:rFonts w:hint="eastAsia"/>
          <w:sz w:val="21"/>
          <w:szCs w:val="21"/>
        </w:rPr>
        <w:t>格式</w:t>
      </w:r>
      <w:r>
        <w:rPr>
          <w:rFonts w:hint="eastAsia"/>
          <w:sz w:val="21"/>
          <w:szCs w:val="21"/>
          <w:lang w:val="en-US" w:eastAsia="zh-CN"/>
        </w:rPr>
        <w:t>1</w:t>
      </w:r>
      <w:r>
        <w:rPr>
          <w:rFonts w:hint="eastAsia"/>
          <w:sz w:val="21"/>
          <w:szCs w:val="21"/>
        </w:rPr>
        <w:t>）</w:t>
      </w:r>
    </w:p>
    <w:p w14:paraId="30E74587">
      <w:pPr>
        <w:pStyle w:val="111"/>
        <w:spacing w:line="360" w:lineRule="auto"/>
        <w:ind w:left="0" w:leftChars="0" w:firstLine="0" w:firstLineChars="0"/>
        <w:jc w:val="left"/>
        <w:rPr>
          <w:rFonts w:hint="default" w:cs="Times New Roman"/>
          <w:b w:val="0"/>
          <w:bCs/>
          <w:sz w:val="21"/>
          <w:szCs w:val="21"/>
          <w:highlight w:val="none"/>
          <w:lang w:val="en-US" w:eastAsia="zh-CN"/>
        </w:rPr>
      </w:pPr>
      <w:r>
        <w:rPr>
          <w:rFonts w:hint="eastAsia"/>
          <w:sz w:val="21"/>
          <w:szCs w:val="21"/>
        </w:rPr>
        <w:t>(</w:t>
      </w:r>
      <w:r>
        <w:rPr>
          <w:sz w:val="21"/>
          <w:szCs w:val="21"/>
        </w:rPr>
        <w:t>9</w:t>
      </w:r>
      <w:r>
        <w:rPr>
          <w:rFonts w:hint="eastAsia"/>
          <w:sz w:val="21"/>
          <w:szCs w:val="21"/>
        </w:rPr>
        <w:t>)</w:t>
      </w:r>
      <w:r>
        <w:rPr>
          <w:sz w:val="21"/>
          <w:szCs w:val="21"/>
        </w:rPr>
        <w:t xml:space="preserve"> </w:t>
      </w:r>
      <w:r>
        <w:rPr>
          <w:rFonts w:hint="eastAsia"/>
          <w:sz w:val="21"/>
          <w:szCs w:val="21"/>
        </w:rPr>
        <w:t>技术规格偏离表（</w:t>
      </w:r>
      <w:r>
        <w:rPr>
          <w:rFonts w:hint="eastAsia"/>
          <w:sz w:val="21"/>
          <w:szCs w:val="21"/>
          <w:lang w:val="en-US" w:eastAsia="zh-CN"/>
        </w:rPr>
        <w:t>详见附件</w:t>
      </w:r>
      <w:r>
        <w:rPr>
          <w:rFonts w:hint="eastAsia"/>
          <w:sz w:val="21"/>
          <w:szCs w:val="21"/>
        </w:rPr>
        <w:t>格式</w:t>
      </w:r>
      <w:r>
        <w:rPr>
          <w:rFonts w:hint="eastAsia"/>
          <w:sz w:val="21"/>
          <w:szCs w:val="21"/>
          <w:lang w:val="en-US" w:eastAsia="zh-CN"/>
        </w:rPr>
        <w:t>2</w:t>
      </w:r>
      <w:r>
        <w:rPr>
          <w:rFonts w:hint="eastAsia"/>
          <w:sz w:val="21"/>
          <w:szCs w:val="21"/>
        </w:rPr>
        <w:t>）</w:t>
      </w:r>
    </w:p>
    <w:p w14:paraId="70E2A45F">
      <w:pPr>
        <w:pStyle w:val="73"/>
        <w:keepNext w:val="0"/>
        <w:keepLines w:val="0"/>
        <w:pageBreakBefore w:val="0"/>
        <w:widowControl w:val="0"/>
        <w:numPr>
          <w:ilvl w:val="0"/>
          <w:numId w:val="13"/>
        </w:numPr>
        <w:kinsoku/>
        <w:wordWrap/>
        <w:overflowPunct/>
        <w:topLinePunct w:val="0"/>
        <w:autoSpaceDE/>
        <w:autoSpaceDN/>
        <w:bidi w:val="0"/>
        <w:adjustRightInd/>
        <w:snapToGrid/>
        <w:ind w:left="0" w:leftChars="0" w:firstLine="0" w:firstLineChars="0"/>
        <w:textAlignment w:val="auto"/>
        <w:rPr>
          <w:rFonts w:hint="eastAsia" w:cs="Times New Roman"/>
          <w:b w:val="0"/>
          <w:lang w:val="en-US" w:eastAsia="zh-CN"/>
        </w:rPr>
      </w:pPr>
      <w:r>
        <w:rPr>
          <w:rFonts w:hint="eastAsia" w:cs="Times New Roman"/>
          <w:b w:val="0"/>
          <w:lang w:val="en-US" w:eastAsia="zh-CN"/>
        </w:rPr>
        <w:t>投标文件的投递</w:t>
      </w:r>
    </w:p>
    <w:p w14:paraId="776A71A0">
      <w:pPr>
        <w:pStyle w:val="75"/>
        <w:numPr>
          <w:ilvl w:val="0"/>
          <w:numId w:val="18"/>
        </w:numPr>
        <w:ind w:left="425" w:leftChars="0" w:hanging="425" w:firstLineChars="0"/>
        <w:rPr>
          <w:rFonts w:hint="eastAsia" w:ascii="宋体" w:hAnsi="Courier New" w:eastAsia="宋体" w:cs="Times New Roman"/>
          <w:b w:val="0"/>
          <w:bCs/>
          <w:highlight w:val="none"/>
          <w:lang w:val="en-US" w:eastAsia="zh-CN"/>
        </w:rPr>
      </w:pPr>
      <w:r>
        <w:rPr>
          <w:rFonts w:hint="eastAsia" w:ascii="宋体" w:hAnsi="Courier New" w:eastAsia="宋体" w:cs="Times New Roman"/>
          <w:b w:val="0"/>
          <w:bCs/>
          <w:highlight w:val="none"/>
          <w:lang w:val="en-US" w:eastAsia="zh-CN"/>
        </w:rPr>
        <w:t>投标方式：</w:t>
      </w:r>
      <w:r>
        <w:rPr>
          <w:rFonts w:hint="eastAsia" w:cs="Times New Roman"/>
          <w:b w:val="0"/>
          <w:bCs/>
          <w:highlight w:val="none"/>
          <w:lang w:val="en-US" w:eastAsia="zh-CN"/>
        </w:rPr>
        <w:t>e采通系统</w:t>
      </w:r>
    </w:p>
    <w:p w14:paraId="4AAA3F9B">
      <w:pPr>
        <w:pStyle w:val="75"/>
        <w:numPr>
          <w:ilvl w:val="0"/>
          <w:numId w:val="18"/>
        </w:numPr>
        <w:ind w:left="425" w:leftChars="0" w:hanging="425" w:firstLineChars="0"/>
        <w:rPr>
          <w:rFonts w:hint="eastAsia" w:ascii="宋体" w:hAnsi="Courier New" w:eastAsia="宋体" w:cs="Times New Roman"/>
          <w:b w:val="0"/>
          <w:bCs/>
          <w:highlight w:val="none"/>
          <w:lang w:val="en-US" w:eastAsia="zh-CN"/>
        </w:rPr>
      </w:pPr>
      <w:r>
        <w:rPr>
          <w:rFonts w:hint="eastAsia" w:ascii="宋体" w:hAnsi="Courier New" w:eastAsia="宋体" w:cs="Times New Roman"/>
          <w:b w:val="0"/>
          <w:bCs/>
          <w:highlight w:val="none"/>
          <w:lang w:val="en-US" w:eastAsia="zh-CN"/>
        </w:rPr>
        <w:t>投标文件递交截止时间：</w:t>
      </w:r>
      <w:r>
        <w:rPr>
          <w:rFonts w:hint="eastAsia" w:cs="Times New Roman"/>
          <w:b w:val="0"/>
          <w:bCs/>
          <w:highlight w:val="yellow"/>
          <w:lang w:val="en-US" w:eastAsia="zh-CN"/>
        </w:rPr>
        <w:t>2026</w:t>
      </w:r>
      <w:r>
        <w:rPr>
          <w:rFonts w:hint="eastAsia" w:ascii="宋体" w:hAnsi="Courier New" w:eastAsia="宋体" w:cs="Times New Roman"/>
          <w:b w:val="0"/>
          <w:bCs/>
          <w:highlight w:val="yellow"/>
          <w:lang w:val="en-US" w:eastAsia="zh-CN"/>
        </w:rPr>
        <w:t>年</w:t>
      </w:r>
      <w:r>
        <w:rPr>
          <w:rFonts w:hint="eastAsia" w:cs="Times New Roman"/>
          <w:b w:val="0"/>
          <w:bCs/>
          <w:highlight w:val="yellow"/>
          <w:lang w:val="en-US" w:eastAsia="zh-CN"/>
        </w:rPr>
        <w:t>2</w:t>
      </w:r>
      <w:r>
        <w:rPr>
          <w:rFonts w:hint="eastAsia" w:ascii="宋体" w:hAnsi="Courier New" w:eastAsia="宋体" w:cs="Times New Roman"/>
          <w:b w:val="0"/>
          <w:bCs/>
          <w:highlight w:val="yellow"/>
          <w:lang w:val="en-US" w:eastAsia="zh-CN"/>
        </w:rPr>
        <w:t>月</w:t>
      </w:r>
      <w:r>
        <w:rPr>
          <w:rFonts w:hint="eastAsia" w:cs="Times New Roman"/>
          <w:b w:val="0"/>
          <w:bCs/>
          <w:highlight w:val="yellow"/>
          <w:lang w:val="en-US" w:eastAsia="zh-CN"/>
        </w:rPr>
        <w:t>22</w:t>
      </w:r>
      <w:r>
        <w:rPr>
          <w:rFonts w:hint="eastAsia" w:ascii="宋体" w:hAnsi="Courier New" w:eastAsia="宋体" w:cs="Times New Roman"/>
          <w:b w:val="0"/>
          <w:bCs/>
          <w:highlight w:val="yellow"/>
          <w:lang w:val="en-US" w:eastAsia="zh-CN"/>
        </w:rPr>
        <w:t>日</w:t>
      </w:r>
      <w:r>
        <w:rPr>
          <w:rFonts w:hint="eastAsia" w:cs="Times New Roman"/>
          <w:b w:val="0"/>
          <w:bCs/>
          <w:highlight w:val="yellow"/>
          <w:lang w:val="en-US" w:eastAsia="zh-CN"/>
        </w:rPr>
        <w:t>17点00分</w:t>
      </w:r>
    </w:p>
    <w:p w14:paraId="25974AAC">
      <w:pPr>
        <w:pStyle w:val="72"/>
        <w:rPr>
          <w:rFonts w:hint="eastAsia" w:hAnsi="Courier New" w:cs="Times New Roman"/>
          <w:highlight w:val="none"/>
        </w:rPr>
      </w:pPr>
      <w:bookmarkStart w:id="13" w:name="_Toc47976601"/>
      <w:r>
        <w:rPr>
          <w:rFonts w:hint="eastAsia" w:hAnsi="Courier New" w:cs="Times New Roman"/>
          <w:highlight w:val="none"/>
        </w:rPr>
        <w:t>投标保证金</w:t>
      </w:r>
      <w:r>
        <w:rPr>
          <w:rFonts w:hint="eastAsia" w:hAnsi="Courier New" w:cs="Times New Roman"/>
          <w:highlight w:val="none"/>
          <w:lang w:val="en-US" w:eastAsia="zh-CN"/>
        </w:rPr>
        <w:t>收取</w:t>
      </w:r>
      <w:r>
        <w:rPr>
          <w:rFonts w:hint="eastAsia" w:hAnsi="Courier New" w:cs="Times New Roman"/>
          <w:highlight w:val="none"/>
          <w:lang w:eastAsia="zh-CN"/>
        </w:rPr>
        <w:t>、</w:t>
      </w:r>
      <w:r>
        <w:rPr>
          <w:rFonts w:hint="eastAsia" w:hAnsi="Courier New" w:cs="Times New Roman"/>
          <w:highlight w:val="none"/>
          <w:lang w:val="en-US" w:eastAsia="zh-CN"/>
        </w:rPr>
        <w:t>缴纳</w:t>
      </w:r>
      <w:r>
        <w:rPr>
          <w:rFonts w:hint="eastAsia" w:hAnsi="Courier New" w:cs="Times New Roman"/>
          <w:highlight w:val="none"/>
        </w:rPr>
        <w:t>有效期</w:t>
      </w:r>
      <w:r>
        <w:rPr>
          <w:rFonts w:hint="eastAsia" w:hAnsi="Courier New" w:cs="Times New Roman"/>
          <w:highlight w:val="none"/>
          <w:lang w:val="en-US" w:eastAsia="zh-CN"/>
        </w:rPr>
        <w:t>及罚没</w:t>
      </w:r>
    </w:p>
    <w:p w14:paraId="071E67B8">
      <w:pPr>
        <w:pStyle w:val="72"/>
        <w:numPr>
          <w:ilvl w:val="0"/>
          <w:numId w:val="19"/>
        </w:numPr>
        <w:ind w:leftChars="0"/>
        <w:rPr>
          <w:rFonts w:hint="eastAsia" w:ascii="宋体" w:hAnsi="宋体" w:eastAsia="宋体" w:cs="宋体"/>
          <w:b w:val="0"/>
          <w:bCs w:val="0"/>
          <w:sz w:val="21"/>
          <w:szCs w:val="21"/>
          <w:highlight w:val="none"/>
          <w:u w:val="single"/>
          <w:lang w:val="en-US" w:eastAsia="zh-CN"/>
        </w:rPr>
      </w:pPr>
      <w:r>
        <w:rPr>
          <w:rFonts w:hint="eastAsia" w:ascii="宋体" w:hAnsi="宋体" w:eastAsia="宋体" w:cs="宋体"/>
          <w:b w:val="0"/>
          <w:bCs w:val="0"/>
          <w:sz w:val="21"/>
          <w:szCs w:val="21"/>
          <w:highlight w:val="none"/>
        </w:rPr>
        <w:t>投标保证金的缴纳</w:t>
      </w:r>
    </w:p>
    <w:p w14:paraId="021ADBC0">
      <w:pPr>
        <w:pStyle w:val="72"/>
        <w:numPr>
          <w:ilvl w:val="0"/>
          <w:numId w:val="20"/>
        </w:numPr>
        <w:ind w:left="425" w:leftChars="0" w:hanging="425" w:firstLineChars="0"/>
        <w:rPr>
          <w:rFonts w:hint="eastAsia" w:ascii="宋体" w:hAnsi="宋体" w:eastAsia="宋体" w:cs="宋体"/>
          <w:b w:val="0"/>
          <w:bCs w:val="0"/>
          <w:sz w:val="21"/>
          <w:szCs w:val="21"/>
          <w:highlight w:val="none"/>
          <w:u w:val="single"/>
          <w:lang w:val="en-US" w:eastAsia="zh-CN"/>
        </w:rPr>
      </w:pPr>
      <w:r>
        <w:rPr>
          <w:rFonts w:hint="eastAsia" w:ascii="宋体" w:hAnsi="宋体" w:eastAsia="宋体" w:cs="宋体"/>
          <w:b w:val="0"/>
          <w:bCs w:val="0"/>
          <w:sz w:val="21"/>
          <w:szCs w:val="21"/>
          <w:highlight w:val="none"/>
        </w:rPr>
        <w:t>投标保证金</w:t>
      </w:r>
      <w:r>
        <w:rPr>
          <w:rFonts w:hint="eastAsia" w:ascii="宋体" w:hAnsi="宋体" w:eastAsia="宋体" w:cs="宋体"/>
          <w:b w:val="0"/>
          <w:bCs w:val="0"/>
          <w:sz w:val="21"/>
          <w:szCs w:val="21"/>
          <w:highlight w:val="none"/>
          <w:lang w:val="en-US" w:eastAsia="zh-CN"/>
        </w:rPr>
        <w:t>的缴纳</w:t>
      </w:r>
      <w:r>
        <w:rPr>
          <w:rFonts w:hint="eastAsia" w:ascii="宋体" w:hAnsi="宋体" w:eastAsia="宋体" w:cs="宋体"/>
          <w:b w:val="0"/>
          <w:bCs w:val="0"/>
          <w:sz w:val="21"/>
          <w:szCs w:val="21"/>
          <w:highlight w:val="none"/>
        </w:rPr>
        <w:t>形式：</w:t>
      </w:r>
      <w:r>
        <w:rPr>
          <w:rFonts w:hint="eastAsia" w:ascii="宋体" w:hAnsi="宋体" w:eastAsia="宋体" w:cs="宋体"/>
          <w:b w:val="0"/>
          <w:bCs w:val="0"/>
          <w:sz w:val="21"/>
          <w:szCs w:val="21"/>
          <w:highlight w:val="none"/>
          <w:u w:val="single"/>
          <w:lang w:val="en-US" w:eastAsia="zh-CN"/>
        </w:rPr>
        <w:t>提交银行投标保函或从银行基本账户转账</w:t>
      </w:r>
    </w:p>
    <w:p w14:paraId="04CD311F">
      <w:pPr>
        <w:pStyle w:val="72"/>
        <w:numPr>
          <w:ilvl w:val="0"/>
          <w:numId w:val="20"/>
        </w:numPr>
        <w:ind w:left="425" w:leftChars="0" w:hanging="425" w:firstLineChars="0"/>
        <w:rPr>
          <w:rFonts w:hint="default" w:ascii="宋体" w:hAnsi="宋体" w:eastAsia="宋体" w:cs="宋体"/>
          <w:b w:val="0"/>
          <w:bCs w:val="0"/>
          <w:sz w:val="21"/>
          <w:szCs w:val="21"/>
          <w:highlight w:val="yellow"/>
          <w:u w:val="single"/>
          <w:lang w:val="en-US" w:eastAsia="zh-CN"/>
        </w:rPr>
      </w:pPr>
      <w:r>
        <w:rPr>
          <w:rFonts w:hint="eastAsia" w:ascii="宋体" w:hAnsi="宋体" w:eastAsia="宋体" w:cs="宋体"/>
          <w:b w:val="0"/>
          <w:bCs w:val="0"/>
          <w:sz w:val="21"/>
          <w:szCs w:val="21"/>
          <w:highlight w:val="none"/>
        </w:rPr>
        <w:t>投标保证金的金额：人民币</w:t>
      </w:r>
      <w:r>
        <w:rPr>
          <w:rFonts w:hint="eastAsia" w:ascii="宋体" w:hAnsi="宋体" w:eastAsia="宋体" w:cs="宋体"/>
          <w:b w:val="0"/>
          <w:bCs w:val="0"/>
          <w:sz w:val="21"/>
          <w:szCs w:val="21"/>
          <w:highlight w:val="yellow"/>
          <w:u w:val="single"/>
          <w:lang w:val="en-US" w:eastAsia="zh-CN"/>
        </w:rPr>
        <w:t xml:space="preserve">  5000  </w:t>
      </w:r>
      <w:r>
        <w:rPr>
          <w:rFonts w:hint="eastAsia" w:ascii="宋体" w:hAnsi="宋体" w:eastAsia="宋体" w:cs="宋体"/>
          <w:b w:val="0"/>
          <w:bCs w:val="0"/>
          <w:sz w:val="21"/>
          <w:szCs w:val="21"/>
          <w:highlight w:val="none"/>
        </w:rPr>
        <w:t>元</w:t>
      </w:r>
    </w:p>
    <w:p w14:paraId="261202B6">
      <w:pPr>
        <w:pStyle w:val="72"/>
        <w:numPr>
          <w:ilvl w:val="0"/>
          <w:numId w:val="0"/>
        </w:numPr>
        <w:ind w:leftChars="0"/>
        <w:rPr>
          <w:rFonts w:hint="default" w:ascii="宋体" w:hAnsi="宋体" w:eastAsia="宋体" w:cs="宋体"/>
          <w:b w:val="0"/>
          <w:bCs w:val="0"/>
          <w:sz w:val="21"/>
          <w:szCs w:val="21"/>
          <w:highlight w:val="yellow"/>
          <w:u w:val="single"/>
          <w:lang w:val="en-US" w:eastAsia="zh-CN"/>
        </w:rPr>
      </w:pPr>
      <w:r>
        <w:rPr>
          <w:rFonts w:ascii="宋体" w:hAnsi="宋体" w:eastAsia="宋体" w:cs="宋体"/>
          <w:sz w:val="24"/>
          <w:szCs w:val="24"/>
        </w:rPr>
        <w:t>保证金收款账号：</w:t>
      </w:r>
      <w:r>
        <w:rPr>
          <w:rFonts w:ascii="宋体" w:hAnsi="宋体" w:eastAsia="宋体" w:cs="宋体"/>
          <w:sz w:val="24"/>
          <w:szCs w:val="24"/>
        </w:rPr>
        <w:br w:type="textWrapping"/>
      </w:r>
      <w:r>
        <w:rPr>
          <w:rFonts w:ascii="宋体" w:hAnsi="宋体" w:eastAsia="宋体" w:cs="宋体"/>
          <w:sz w:val="24"/>
          <w:szCs w:val="24"/>
        </w:rPr>
        <w:t>单位名称：中国重汽集团济南动力有限公司</w:t>
      </w:r>
      <w:r>
        <w:rPr>
          <w:rFonts w:ascii="宋体" w:hAnsi="宋体" w:eastAsia="宋体" w:cs="宋体"/>
          <w:sz w:val="24"/>
          <w:szCs w:val="24"/>
        </w:rPr>
        <w:br w:type="textWrapping"/>
      </w:r>
      <w:r>
        <w:rPr>
          <w:rFonts w:ascii="宋体" w:hAnsi="宋体" w:eastAsia="宋体" w:cs="宋体"/>
          <w:sz w:val="24"/>
          <w:szCs w:val="24"/>
        </w:rPr>
        <w:t>收款账号：</w:t>
      </w:r>
      <w:r>
        <w:rPr>
          <w:rFonts w:hint="eastAsia"/>
          <w:color w:val="auto"/>
          <w:sz w:val="24"/>
          <w:szCs w:val="24"/>
          <w:highlight w:val="yellow"/>
          <w:u w:val="none"/>
        </w:rPr>
        <w:t>371899991010003152396</w:t>
      </w:r>
      <w:r>
        <w:rPr>
          <w:rFonts w:hint="eastAsia"/>
          <w:color w:val="auto"/>
          <w:sz w:val="24"/>
          <w:szCs w:val="24"/>
          <w:highlight w:val="yellow"/>
          <w:u w:val="none"/>
        </w:rPr>
        <w:br w:type="textWrapping"/>
      </w:r>
      <w:r>
        <w:rPr>
          <w:rFonts w:ascii="宋体" w:hAnsi="宋体" w:eastAsia="宋体" w:cs="宋体"/>
          <w:sz w:val="24"/>
          <w:szCs w:val="24"/>
        </w:rPr>
        <w:t>开户行名称：</w:t>
      </w:r>
      <w:r>
        <w:rPr>
          <w:rFonts w:ascii="宋体" w:hAnsi="宋体" w:eastAsia="宋体" w:cs="宋体"/>
          <w:sz w:val="24"/>
          <w:szCs w:val="24"/>
          <w:highlight w:val="yellow"/>
          <w:u w:val="none"/>
        </w:rPr>
        <w:t>交通银行山东省分行营业部</w:t>
      </w:r>
      <w:r>
        <w:rPr>
          <w:rFonts w:ascii="宋体" w:hAnsi="宋体" w:eastAsia="宋体" w:cs="宋体"/>
          <w:sz w:val="24"/>
          <w:szCs w:val="24"/>
        </w:rPr>
        <w:br w:type="textWrapping"/>
      </w:r>
      <w:r>
        <w:rPr>
          <w:rFonts w:ascii="宋体" w:hAnsi="宋体" w:eastAsia="宋体" w:cs="宋体"/>
          <w:sz w:val="24"/>
          <w:szCs w:val="24"/>
        </w:rPr>
        <w:t>开户行行号：</w:t>
      </w:r>
      <w:r>
        <w:rPr>
          <w:rFonts w:ascii="宋体" w:hAnsi="宋体" w:eastAsia="宋体" w:cs="宋体"/>
          <w:sz w:val="24"/>
          <w:szCs w:val="24"/>
          <w:highlight w:val="yellow"/>
          <w:u w:val="none"/>
        </w:rPr>
        <w:t>301451000017</w:t>
      </w:r>
    </w:p>
    <w:p w14:paraId="1591D62C">
      <w:pPr>
        <w:pStyle w:val="75"/>
        <w:keepNext w:val="0"/>
        <w:keepLines w:val="0"/>
        <w:pageBreakBefore w:val="0"/>
        <w:widowControl w:val="0"/>
        <w:numPr>
          <w:ilvl w:val="0"/>
          <w:numId w:val="16"/>
        </w:numPr>
        <w:kinsoku/>
        <w:wordWrap/>
        <w:overflowPunct/>
        <w:topLinePunct w:val="0"/>
        <w:autoSpaceDE/>
        <w:autoSpaceDN/>
        <w:bidi w:val="0"/>
        <w:adjustRightInd/>
        <w:snapToGrid/>
        <w:ind w:left="10" w:leftChars="0" w:firstLine="0"/>
        <w:textAlignment w:val="auto"/>
        <w:rPr>
          <w:rFonts w:hint="eastAsia" w:cs="Times New Roman"/>
          <w:b w:val="0"/>
          <w:bCs/>
          <w:highlight w:val="none"/>
          <w:lang w:val="en-US" w:eastAsia="zh-CN"/>
        </w:rPr>
      </w:pPr>
      <w:r>
        <w:rPr>
          <w:rFonts w:hint="eastAsia" w:cs="Times New Roman"/>
          <w:b w:val="0"/>
          <w:bCs/>
          <w:highlight w:val="none"/>
          <w:lang w:val="en-US" w:eastAsia="zh-CN"/>
        </w:rPr>
        <w:t>转账附言：公司名称+项目名称+投标保证金。</w:t>
      </w:r>
    </w:p>
    <w:p w14:paraId="5568414C">
      <w:pPr>
        <w:pStyle w:val="72"/>
        <w:numPr>
          <w:ilvl w:val="0"/>
          <w:numId w:val="0"/>
        </w:numPr>
        <w:ind w:left="425" w:leftChars="0" w:hanging="425" w:firstLineChars="0"/>
        <w:rPr>
          <w:rFonts w:hint="eastAsia" w:ascii="宋体" w:hAnsi="宋体" w:eastAsia="宋体" w:cs="宋体"/>
          <w:b w:val="0"/>
          <w:bCs w:val="0"/>
          <w:sz w:val="21"/>
          <w:szCs w:val="21"/>
          <w:highlight w:val="yellow"/>
        </w:rPr>
      </w:pPr>
      <w:r>
        <w:rPr>
          <w:rFonts w:hint="default" w:ascii="宋体" w:hAnsi="宋体" w:eastAsia="宋体" w:cs="宋体"/>
          <w:b w:val="0"/>
          <w:bCs w:val="0"/>
          <w:kern w:val="2"/>
          <w:sz w:val="21"/>
          <w:szCs w:val="21"/>
          <w:lang w:val="en-US" w:eastAsia="zh-CN" w:bidi="ar-SA"/>
        </w:rPr>
        <w:t>(</w:t>
      </w:r>
      <w:r>
        <w:rPr>
          <w:rFonts w:hint="eastAsia" w:ascii="宋体" w:hAnsi="宋体" w:eastAsia="宋体" w:cs="宋体"/>
          <w:b w:val="0"/>
          <w:bCs w:val="0"/>
          <w:kern w:val="2"/>
          <w:sz w:val="21"/>
          <w:szCs w:val="21"/>
          <w:lang w:val="en-US" w:eastAsia="zh-CN" w:bidi="ar-SA"/>
        </w:rPr>
        <w:t>3</w:t>
      </w:r>
      <w:r>
        <w:rPr>
          <w:rFonts w:hint="default" w:ascii="宋体" w:hAnsi="宋体" w:eastAsia="宋体" w:cs="宋体"/>
          <w:b w:val="0"/>
          <w:bCs w:val="0"/>
          <w:kern w:val="2"/>
          <w:sz w:val="21"/>
          <w:szCs w:val="21"/>
          <w:lang w:val="en-US" w:eastAsia="zh-CN" w:bidi="ar-SA"/>
        </w:rPr>
        <w:t>)</w:t>
      </w:r>
      <w:r>
        <w:rPr>
          <w:rFonts w:hint="eastAsia" w:ascii="宋体" w:hAnsi="宋体" w:eastAsia="宋体" w:cs="宋体"/>
          <w:b w:val="0"/>
          <w:bCs w:val="0"/>
          <w:sz w:val="21"/>
          <w:szCs w:val="21"/>
          <w:highlight w:val="none"/>
        </w:rPr>
        <w:t>保证金缴纳截止时间：</w:t>
      </w:r>
      <w:r>
        <w:rPr>
          <w:rFonts w:hint="eastAsia" w:ascii="宋体" w:hAnsi="宋体" w:eastAsia="宋体" w:cs="宋体"/>
          <w:b w:val="0"/>
          <w:bCs w:val="0"/>
          <w:sz w:val="21"/>
          <w:szCs w:val="21"/>
          <w:highlight w:val="yellow"/>
          <w:lang w:eastAsia="zh-CN"/>
        </w:rPr>
        <w:t>2026</w:t>
      </w:r>
      <w:r>
        <w:rPr>
          <w:rFonts w:hint="eastAsia" w:ascii="宋体" w:hAnsi="宋体" w:eastAsia="宋体" w:cs="宋体"/>
          <w:b w:val="0"/>
          <w:bCs w:val="0"/>
          <w:sz w:val="21"/>
          <w:szCs w:val="21"/>
          <w:highlight w:val="yellow"/>
        </w:rPr>
        <w:t>年</w:t>
      </w:r>
      <w:r>
        <w:rPr>
          <w:rFonts w:hint="eastAsia" w:ascii="宋体" w:hAnsi="宋体" w:eastAsia="宋体" w:cs="宋体"/>
          <w:b w:val="0"/>
          <w:bCs w:val="0"/>
          <w:sz w:val="21"/>
          <w:szCs w:val="21"/>
          <w:highlight w:val="yellow"/>
          <w:lang w:val="en-US" w:eastAsia="zh-CN"/>
        </w:rPr>
        <w:t>2</w:t>
      </w:r>
      <w:r>
        <w:rPr>
          <w:rFonts w:hint="eastAsia" w:ascii="宋体" w:hAnsi="宋体" w:eastAsia="宋体" w:cs="宋体"/>
          <w:b w:val="0"/>
          <w:bCs w:val="0"/>
          <w:sz w:val="21"/>
          <w:szCs w:val="21"/>
          <w:highlight w:val="yellow"/>
        </w:rPr>
        <w:t>月</w:t>
      </w:r>
      <w:r>
        <w:rPr>
          <w:rFonts w:hint="eastAsia" w:ascii="宋体" w:hAnsi="宋体" w:eastAsia="宋体" w:cs="宋体"/>
          <w:b w:val="0"/>
          <w:bCs w:val="0"/>
          <w:sz w:val="21"/>
          <w:szCs w:val="21"/>
          <w:highlight w:val="yellow"/>
          <w:lang w:val="en-US" w:eastAsia="zh-CN"/>
        </w:rPr>
        <w:t>22</w:t>
      </w:r>
      <w:r>
        <w:rPr>
          <w:rFonts w:hint="eastAsia" w:ascii="宋体" w:hAnsi="宋体" w:eastAsia="宋体" w:cs="宋体"/>
          <w:b w:val="0"/>
          <w:bCs w:val="0"/>
          <w:sz w:val="21"/>
          <w:szCs w:val="21"/>
          <w:highlight w:val="yellow"/>
        </w:rPr>
        <w:t>日</w:t>
      </w:r>
      <w:r>
        <w:rPr>
          <w:rFonts w:hint="eastAsia" w:ascii="宋体" w:hAnsi="宋体" w:eastAsia="宋体" w:cs="宋体"/>
          <w:b w:val="0"/>
          <w:bCs w:val="0"/>
          <w:sz w:val="21"/>
          <w:szCs w:val="21"/>
          <w:highlight w:val="yellow"/>
          <w:lang w:val="en-US" w:eastAsia="zh-CN"/>
        </w:rPr>
        <w:t>17点00分</w:t>
      </w:r>
      <w:r>
        <w:rPr>
          <w:rFonts w:hint="eastAsia" w:ascii="宋体" w:hAnsi="宋体" w:eastAsia="宋体" w:cs="宋体"/>
          <w:b w:val="0"/>
          <w:bCs w:val="0"/>
          <w:sz w:val="21"/>
          <w:szCs w:val="21"/>
          <w:highlight w:val="yellow"/>
        </w:rPr>
        <w:t>前</w:t>
      </w:r>
    </w:p>
    <w:p w14:paraId="4C2C93DA">
      <w:pPr>
        <w:pStyle w:val="72"/>
        <w:keepNext w:val="0"/>
        <w:keepLines w:val="0"/>
        <w:pageBreakBefore w:val="0"/>
        <w:widowControl w:val="0"/>
        <w:numPr>
          <w:ilvl w:val="0"/>
          <w:numId w:val="19"/>
        </w:numPr>
        <w:kinsoku/>
        <w:wordWrap/>
        <w:overflowPunct/>
        <w:topLinePunct w:val="0"/>
        <w:autoSpaceDE/>
        <w:autoSpaceDN/>
        <w:bidi w:val="0"/>
        <w:adjustRightInd/>
        <w:snapToGrid/>
        <w:ind w:left="0" w:leftChars="0" w:firstLine="0"/>
        <w:textAlignment w:val="auto"/>
        <w:rPr>
          <w:rFonts w:hint="eastAsia" w:ascii="宋体" w:hAnsi="宋体" w:eastAsia="宋体" w:cs="宋体"/>
          <w:b w:val="0"/>
          <w:bCs w:val="0"/>
          <w:sz w:val="21"/>
          <w:szCs w:val="21"/>
          <w:highlight w:val="none"/>
          <w:lang w:val="en-US" w:eastAsia="zh-CN"/>
        </w:rPr>
      </w:pPr>
      <w:r>
        <w:rPr>
          <w:rFonts w:hint="eastAsia" w:ascii="宋体" w:hAnsi="宋体" w:eastAsia="宋体" w:cs="宋体"/>
          <w:b w:val="0"/>
          <w:bCs w:val="0"/>
          <w:sz w:val="21"/>
          <w:szCs w:val="21"/>
          <w:highlight w:val="none"/>
          <w:lang w:val="en-US" w:eastAsia="zh-CN"/>
        </w:rPr>
        <w:t>选择</w:t>
      </w:r>
      <w:r>
        <w:rPr>
          <w:rFonts w:hint="eastAsia" w:ascii="宋体" w:hAnsi="宋体" w:eastAsia="宋体" w:cs="宋体"/>
          <w:b w:val="0"/>
          <w:bCs w:val="0"/>
          <w:sz w:val="21"/>
          <w:szCs w:val="21"/>
          <w:highlight w:val="none"/>
        </w:rPr>
        <w:t>提交银行投标保函的</w:t>
      </w:r>
      <w:r>
        <w:rPr>
          <w:rFonts w:hint="eastAsia" w:ascii="宋体" w:hAnsi="宋体" w:eastAsia="宋体" w:cs="宋体"/>
          <w:b w:val="0"/>
          <w:bCs w:val="0"/>
          <w:sz w:val="21"/>
          <w:szCs w:val="21"/>
          <w:highlight w:val="none"/>
          <w:lang w:val="en-US" w:eastAsia="zh-CN"/>
        </w:rPr>
        <w:t>拟</w:t>
      </w:r>
      <w:r>
        <w:rPr>
          <w:rFonts w:hint="eastAsia" w:ascii="宋体" w:hAnsi="宋体" w:eastAsia="宋体" w:cs="宋体"/>
          <w:b w:val="0"/>
          <w:bCs w:val="0"/>
          <w:sz w:val="21"/>
          <w:szCs w:val="21"/>
          <w:highlight w:val="none"/>
        </w:rPr>
        <w:t>投标人，应在开标时提交投标保函正本，作为《投标文件》的一部分，该投标保函应是不可撤销的“见索即付”保函，保函有效期应满足投标有效期要求，</w:t>
      </w:r>
      <w:r>
        <w:rPr>
          <w:rFonts w:hint="eastAsia" w:ascii="宋体" w:hAnsi="宋体" w:eastAsia="宋体" w:cs="宋体"/>
          <w:b w:val="0"/>
          <w:bCs w:val="0"/>
          <w:sz w:val="21"/>
          <w:szCs w:val="21"/>
          <w:highlight w:val="none"/>
          <w:lang w:val="en-US" w:eastAsia="zh-CN"/>
        </w:rPr>
        <w:t>由招标人</w:t>
      </w:r>
      <w:r>
        <w:rPr>
          <w:rFonts w:hint="eastAsia" w:ascii="宋体" w:hAnsi="宋体" w:eastAsia="宋体" w:cs="宋体"/>
          <w:b w:val="0"/>
          <w:bCs w:val="0"/>
          <w:sz w:val="21"/>
          <w:szCs w:val="21"/>
          <w:highlight w:val="none"/>
        </w:rPr>
        <w:t>留存保函正本</w:t>
      </w:r>
      <w:r>
        <w:rPr>
          <w:rFonts w:hint="eastAsia" w:ascii="宋体" w:hAnsi="宋体" w:eastAsia="宋体" w:cs="宋体"/>
          <w:b w:val="0"/>
          <w:bCs w:val="0"/>
          <w:sz w:val="21"/>
          <w:szCs w:val="21"/>
          <w:highlight w:val="none"/>
          <w:lang w:eastAsia="zh-CN"/>
        </w:rPr>
        <w:t>。</w:t>
      </w:r>
    </w:p>
    <w:p w14:paraId="7486A087">
      <w:pPr>
        <w:pStyle w:val="72"/>
        <w:keepNext w:val="0"/>
        <w:keepLines w:val="0"/>
        <w:pageBreakBefore w:val="0"/>
        <w:widowControl w:val="0"/>
        <w:numPr>
          <w:ilvl w:val="0"/>
          <w:numId w:val="19"/>
        </w:numPr>
        <w:kinsoku/>
        <w:wordWrap/>
        <w:overflowPunct/>
        <w:topLinePunct w:val="0"/>
        <w:autoSpaceDE/>
        <w:autoSpaceDN/>
        <w:bidi w:val="0"/>
        <w:adjustRightInd/>
        <w:snapToGrid/>
        <w:ind w:left="0" w:leftChars="0" w:firstLine="0"/>
        <w:textAlignment w:val="auto"/>
        <w:rPr>
          <w:rFonts w:hint="eastAsia" w:ascii="宋体" w:hAnsi="宋体" w:eastAsia="仿宋_GB2312" w:cs="宋体"/>
          <w:b w:val="0"/>
          <w:bCs w:val="0"/>
          <w:sz w:val="24"/>
          <w:szCs w:val="24"/>
          <w:highlight w:val="none"/>
          <w:lang w:val="en-US" w:eastAsia="zh-CN"/>
        </w:rPr>
      </w:pPr>
      <w:r>
        <w:rPr>
          <w:rFonts w:hint="eastAsia" w:ascii="宋体" w:hAnsi="宋体" w:eastAsia="宋体" w:cs="宋体"/>
          <w:b w:val="0"/>
          <w:bCs w:val="0"/>
          <w:sz w:val="21"/>
          <w:szCs w:val="21"/>
          <w:highlight w:val="none"/>
          <w:lang w:val="en-US" w:eastAsia="zh-CN"/>
        </w:rPr>
        <w:t>选择从银行基本账户转账</w:t>
      </w:r>
      <w:r>
        <w:rPr>
          <w:rFonts w:hint="eastAsia" w:ascii="宋体" w:hAnsi="宋体" w:eastAsia="宋体" w:cs="宋体"/>
          <w:b w:val="0"/>
          <w:bCs w:val="0"/>
          <w:sz w:val="21"/>
          <w:szCs w:val="21"/>
          <w:highlight w:val="none"/>
        </w:rPr>
        <w:t>的</w:t>
      </w:r>
      <w:r>
        <w:rPr>
          <w:rFonts w:hint="eastAsia" w:ascii="宋体" w:hAnsi="宋体" w:eastAsia="宋体" w:cs="宋体"/>
          <w:b w:val="0"/>
          <w:bCs w:val="0"/>
          <w:sz w:val="21"/>
          <w:szCs w:val="21"/>
          <w:highlight w:val="none"/>
          <w:lang w:val="en-US" w:eastAsia="zh-CN"/>
        </w:rPr>
        <w:t>拟</w:t>
      </w:r>
      <w:r>
        <w:rPr>
          <w:rFonts w:hint="eastAsia" w:ascii="宋体" w:hAnsi="宋体" w:eastAsia="宋体" w:cs="宋体"/>
          <w:b w:val="0"/>
          <w:bCs w:val="0"/>
          <w:sz w:val="21"/>
          <w:szCs w:val="21"/>
          <w:highlight w:val="none"/>
        </w:rPr>
        <w:t>投标人</w:t>
      </w:r>
      <w:r>
        <w:rPr>
          <w:rFonts w:hint="eastAsia" w:ascii="宋体" w:hAnsi="宋体" w:eastAsia="宋体" w:cs="宋体"/>
          <w:b w:val="0"/>
          <w:bCs w:val="0"/>
          <w:sz w:val="21"/>
          <w:szCs w:val="21"/>
          <w:highlight w:val="none"/>
          <w:lang w:eastAsia="zh-CN"/>
        </w:rPr>
        <w:t>，</w:t>
      </w:r>
      <w:r>
        <w:rPr>
          <w:rFonts w:hint="eastAsia" w:ascii="宋体" w:hAnsi="宋体" w:eastAsia="宋体" w:cs="宋体"/>
          <w:b w:val="0"/>
          <w:bCs w:val="0"/>
          <w:sz w:val="21"/>
          <w:szCs w:val="21"/>
          <w:highlight w:val="none"/>
          <w:lang w:val="en-US" w:eastAsia="zh-CN"/>
        </w:rPr>
        <w:t>须在规定的时间之前</w:t>
      </w:r>
      <w:r>
        <w:rPr>
          <w:rFonts w:hint="eastAsia" w:ascii="宋体" w:hAnsi="宋体" w:eastAsia="宋体" w:cs="宋体"/>
          <w:b w:val="0"/>
          <w:bCs w:val="0"/>
          <w:sz w:val="21"/>
          <w:szCs w:val="21"/>
          <w:highlight w:val="none"/>
        </w:rPr>
        <w:t>将投标保证金从</w:t>
      </w:r>
      <w:r>
        <w:rPr>
          <w:rFonts w:hint="eastAsia" w:ascii="宋体" w:hAnsi="宋体" w:eastAsia="宋体" w:cs="宋体"/>
          <w:b w:val="0"/>
          <w:bCs w:val="0"/>
          <w:sz w:val="21"/>
          <w:szCs w:val="21"/>
          <w:highlight w:val="none"/>
          <w:lang w:val="en-US" w:eastAsia="zh-CN"/>
        </w:rPr>
        <w:t>其</w:t>
      </w:r>
      <w:r>
        <w:rPr>
          <w:rFonts w:hint="eastAsia" w:ascii="宋体" w:hAnsi="宋体" w:eastAsia="宋体" w:cs="宋体"/>
          <w:b w:val="0"/>
          <w:bCs w:val="0"/>
          <w:sz w:val="21"/>
          <w:szCs w:val="21"/>
          <w:highlight w:val="none"/>
        </w:rPr>
        <w:t>单位基本帐户转出并到账，否则</w:t>
      </w:r>
      <w:r>
        <w:rPr>
          <w:rFonts w:hint="eastAsia" w:ascii="宋体" w:hAnsi="宋体" w:eastAsia="宋体" w:cs="宋体"/>
          <w:b w:val="0"/>
          <w:bCs w:val="0"/>
          <w:sz w:val="21"/>
          <w:szCs w:val="21"/>
          <w:highlight w:val="none"/>
          <w:lang w:val="en-US" w:eastAsia="zh-CN"/>
        </w:rPr>
        <w:t>视为无效投标</w:t>
      </w:r>
      <w:r>
        <w:rPr>
          <w:rFonts w:hint="eastAsia" w:ascii="宋体" w:hAnsi="宋体" w:eastAsia="宋体" w:cs="宋体"/>
          <w:b w:val="0"/>
          <w:bCs w:val="0"/>
          <w:sz w:val="21"/>
          <w:szCs w:val="21"/>
          <w:highlight w:val="none"/>
        </w:rPr>
        <w:t>；未按规定提交保证金的</w:t>
      </w:r>
      <w:r>
        <w:rPr>
          <w:rFonts w:hint="eastAsia" w:ascii="宋体" w:hAnsi="宋体" w:eastAsia="宋体" w:cs="宋体"/>
          <w:b w:val="0"/>
          <w:bCs w:val="0"/>
          <w:sz w:val="21"/>
          <w:szCs w:val="21"/>
          <w:highlight w:val="none"/>
          <w:lang w:val="en-US" w:eastAsia="zh-CN"/>
        </w:rPr>
        <w:t>拟</w:t>
      </w:r>
      <w:r>
        <w:rPr>
          <w:rFonts w:hint="eastAsia" w:ascii="宋体" w:hAnsi="宋体" w:eastAsia="宋体" w:cs="宋体"/>
          <w:b w:val="0"/>
          <w:bCs w:val="0"/>
          <w:sz w:val="21"/>
          <w:szCs w:val="21"/>
          <w:highlight w:val="none"/>
        </w:rPr>
        <w:t>投标人，其投标文件</w:t>
      </w:r>
      <w:r>
        <w:rPr>
          <w:rFonts w:hint="eastAsia" w:ascii="宋体" w:hAnsi="宋体" w:eastAsia="宋体" w:cs="宋体"/>
          <w:b w:val="0"/>
          <w:bCs w:val="0"/>
          <w:sz w:val="21"/>
          <w:szCs w:val="21"/>
          <w:highlight w:val="none"/>
          <w:lang w:val="en-US" w:eastAsia="zh-CN"/>
        </w:rPr>
        <w:t>视为无效投标</w:t>
      </w:r>
      <w:r>
        <w:rPr>
          <w:rFonts w:hint="eastAsia" w:ascii="宋体" w:hAnsi="宋体" w:eastAsia="宋体" w:cs="宋体"/>
          <w:b w:val="0"/>
          <w:bCs w:val="0"/>
          <w:sz w:val="21"/>
          <w:szCs w:val="21"/>
          <w:highlight w:val="none"/>
        </w:rPr>
        <w:t>。</w:t>
      </w:r>
      <w:r>
        <w:rPr>
          <w:rFonts w:hint="eastAsia" w:ascii="宋体" w:hAnsi="宋体" w:eastAsia="宋体" w:cs="宋体"/>
          <w:b w:val="0"/>
          <w:bCs w:val="0"/>
          <w:sz w:val="21"/>
          <w:szCs w:val="21"/>
          <w:highlight w:val="none"/>
          <w:lang w:val="en-US" w:eastAsia="zh-CN"/>
        </w:rPr>
        <w:t>拟投标人</w:t>
      </w:r>
      <w:r>
        <w:rPr>
          <w:rFonts w:hint="eastAsia" w:ascii="宋体" w:hAnsi="宋体" w:eastAsia="宋体" w:cs="宋体"/>
          <w:b w:val="0"/>
          <w:bCs w:val="0"/>
          <w:sz w:val="21"/>
          <w:szCs w:val="21"/>
          <w:highlight w:val="none"/>
        </w:rPr>
        <w:t>应充分考虑银行信息交换时间，由此带来的保证金不能按时到帐的责任由</w:t>
      </w:r>
      <w:r>
        <w:rPr>
          <w:rFonts w:hint="eastAsia" w:ascii="宋体" w:hAnsi="宋体" w:eastAsia="宋体" w:cs="宋体"/>
          <w:b w:val="0"/>
          <w:bCs w:val="0"/>
          <w:sz w:val="21"/>
          <w:szCs w:val="21"/>
          <w:highlight w:val="none"/>
          <w:lang w:val="en-US" w:eastAsia="zh-CN"/>
        </w:rPr>
        <w:t>拟投标人</w:t>
      </w:r>
      <w:r>
        <w:rPr>
          <w:rFonts w:hint="eastAsia" w:ascii="宋体" w:hAnsi="宋体" w:eastAsia="宋体" w:cs="宋体"/>
          <w:b w:val="0"/>
          <w:bCs w:val="0"/>
          <w:sz w:val="21"/>
          <w:szCs w:val="21"/>
          <w:highlight w:val="none"/>
        </w:rPr>
        <w:t>自行承担。</w:t>
      </w:r>
    </w:p>
    <w:p w14:paraId="5306DE77">
      <w:pPr>
        <w:pStyle w:val="72"/>
        <w:keepNext w:val="0"/>
        <w:keepLines w:val="0"/>
        <w:pageBreakBefore w:val="0"/>
        <w:widowControl w:val="0"/>
        <w:numPr>
          <w:ilvl w:val="0"/>
          <w:numId w:val="19"/>
        </w:numPr>
        <w:kinsoku/>
        <w:wordWrap/>
        <w:overflowPunct/>
        <w:topLinePunct w:val="0"/>
        <w:autoSpaceDE/>
        <w:autoSpaceDN/>
        <w:bidi w:val="0"/>
        <w:adjustRightInd/>
        <w:snapToGrid/>
        <w:ind w:left="0" w:leftChars="0" w:firstLine="0" w:firstLineChars="0"/>
        <w:textAlignment w:val="auto"/>
        <w:rPr>
          <w:rFonts w:hint="eastAsia" w:ascii="宋体" w:hAnsi="宋体" w:eastAsia="仿宋_GB2312" w:cs="宋体"/>
          <w:b w:val="0"/>
          <w:bCs w:val="0"/>
          <w:sz w:val="24"/>
          <w:szCs w:val="24"/>
          <w:highlight w:val="none"/>
          <w:lang w:val="en-US" w:eastAsia="zh-CN"/>
        </w:rPr>
      </w:pPr>
      <w:r>
        <w:rPr>
          <w:rFonts w:hint="eastAsia" w:ascii="宋体" w:hAnsi="宋体" w:eastAsia="宋体" w:cs="宋体"/>
          <w:b w:val="0"/>
          <w:bCs w:val="0"/>
          <w:sz w:val="21"/>
          <w:szCs w:val="21"/>
          <w:highlight w:val="none"/>
        </w:rPr>
        <w:t>对于没有中标的</w:t>
      </w:r>
      <w:r>
        <w:rPr>
          <w:rFonts w:hint="eastAsia" w:ascii="宋体" w:hAnsi="宋体" w:eastAsia="宋体" w:cs="宋体"/>
          <w:b w:val="0"/>
          <w:bCs w:val="0"/>
          <w:sz w:val="21"/>
          <w:szCs w:val="21"/>
          <w:highlight w:val="none"/>
          <w:lang w:eastAsia="zh-CN"/>
        </w:rPr>
        <w:t>投标人</w:t>
      </w:r>
      <w:r>
        <w:rPr>
          <w:rFonts w:hint="eastAsia" w:ascii="宋体" w:hAnsi="宋体" w:eastAsia="宋体" w:cs="宋体"/>
          <w:b w:val="0"/>
          <w:bCs w:val="0"/>
          <w:sz w:val="21"/>
          <w:szCs w:val="21"/>
          <w:highlight w:val="none"/>
        </w:rPr>
        <w:t>，投标保证金将于招标人内部完成中标人评审并确认最终中标人后在</w:t>
      </w:r>
      <w:r>
        <w:rPr>
          <w:rFonts w:hint="eastAsia" w:ascii="宋体" w:hAnsi="宋体" w:eastAsia="宋体" w:cs="宋体"/>
          <w:b w:val="0"/>
          <w:bCs w:val="0"/>
          <w:sz w:val="21"/>
          <w:szCs w:val="21"/>
          <w:highlight w:val="none"/>
          <w:u w:val="single"/>
          <w:lang w:val="en-US" w:eastAsia="zh-CN"/>
        </w:rPr>
        <w:t xml:space="preserve"> 30 </w:t>
      </w:r>
      <w:r>
        <w:rPr>
          <w:rFonts w:hint="eastAsia" w:ascii="宋体" w:hAnsi="宋体" w:eastAsia="宋体" w:cs="宋体"/>
          <w:b w:val="0"/>
          <w:bCs w:val="0"/>
          <w:sz w:val="21"/>
          <w:szCs w:val="21"/>
          <w:highlight w:val="none"/>
        </w:rPr>
        <w:t>日内予以原路返还（无息）；对于中标方，投标保证金将在签订合同后</w:t>
      </w:r>
      <w:r>
        <w:rPr>
          <w:rFonts w:hint="eastAsia" w:ascii="宋体" w:hAnsi="宋体" w:eastAsia="宋体" w:cs="宋体"/>
          <w:b w:val="0"/>
          <w:bCs w:val="0"/>
          <w:sz w:val="21"/>
          <w:szCs w:val="21"/>
          <w:highlight w:val="yellow"/>
          <w:u w:val="single"/>
          <w:lang w:val="en-US" w:eastAsia="zh-CN"/>
        </w:rPr>
        <w:t xml:space="preserve"> 30 </w:t>
      </w:r>
      <w:r>
        <w:rPr>
          <w:rFonts w:hint="eastAsia" w:ascii="宋体" w:hAnsi="宋体" w:eastAsia="宋体" w:cs="宋体"/>
          <w:b w:val="0"/>
          <w:bCs w:val="0"/>
          <w:sz w:val="21"/>
          <w:szCs w:val="21"/>
          <w:highlight w:val="none"/>
        </w:rPr>
        <w:t>日内原路返还（无息）。</w:t>
      </w:r>
    </w:p>
    <w:p w14:paraId="271EC8CF">
      <w:pPr>
        <w:pStyle w:val="72"/>
        <w:keepNext w:val="0"/>
        <w:keepLines w:val="0"/>
        <w:pageBreakBefore w:val="0"/>
        <w:widowControl w:val="0"/>
        <w:numPr>
          <w:ilvl w:val="0"/>
          <w:numId w:val="19"/>
        </w:numPr>
        <w:kinsoku/>
        <w:wordWrap/>
        <w:overflowPunct/>
        <w:topLinePunct w:val="0"/>
        <w:autoSpaceDE/>
        <w:autoSpaceDN/>
        <w:bidi w:val="0"/>
        <w:adjustRightInd/>
        <w:snapToGrid/>
        <w:ind w:left="0" w:leftChars="0" w:firstLine="0" w:firstLineChars="0"/>
        <w:textAlignment w:val="auto"/>
        <w:rPr>
          <w:rFonts w:hint="eastAsia" w:ascii="宋体" w:hAnsi="宋体" w:eastAsia="仿宋_GB2312" w:cs="宋体"/>
          <w:b w:val="0"/>
          <w:bCs w:val="0"/>
          <w:sz w:val="24"/>
          <w:szCs w:val="24"/>
          <w:highlight w:val="none"/>
          <w:lang w:val="en-US" w:eastAsia="zh-CN"/>
        </w:rPr>
      </w:pPr>
      <w:r>
        <w:rPr>
          <w:rFonts w:hint="eastAsia" w:ascii="宋体" w:hAnsi="宋体" w:eastAsia="宋体" w:cs="宋体"/>
          <w:b w:val="0"/>
          <w:bCs w:val="0"/>
          <w:sz w:val="21"/>
          <w:szCs w:val="21"/>
          <w:highlight w:val="none"/>
        </w:rPr>
        <w:t>发生以下情况时，有权没收保证金：</w:t>
      </w:r>
      <w:r>
        <w:rPr>
          <w:rFonts w:hint="eastAsia" w:ascii="宋体" w:hAnsi="宋体" w:eastAsia="宋体" w:cs="宋体"/>
          <w:b w:val="0"/>
          <w:bCs w:val="0"/>
          <w:sz w:val="21"/>
          <w:szCs w:val="21"/>
          <w:highlight w:val="none"/>
        </w:rPr>
        <w:br w:type="textWrapping"/>
      </w:r>
      <w:r>
        <w:rPr>
          <w:rFonts w:hint="eastAsia" w:ascii="宋体" w:hAnsi="宋体" w:eastAsia="宋体" w:cs="宋体"/>
          <w:b w:val="0"/>
          <w:bCs w:val="0"/>
          <w:sz w:val="21"/>
          <w:szCs w:val="21"/>
          <w:highlight w:val="none"/>
        </w:rPr>
        <w:t>①供应商在提交响应文件截止时间后撤回响应文件的；</w:t>
      </w:r>
      <w:r>
        <w:rPr>
          <w:rFonts w:hint="eastAsia" w:ascii="宋体" w:hAnsi="宋体" w:eastAsia="宋体" w:cs="宋体"/>
          <w:b w:val="0"/>
          <w:bCs w:val="0"/>
          <w:sz w:val="21"/>
          <w:szCs w:val="21"/>
          <w:highlight w:val="none"/>
        </w:rPr>
        <w:br w:type="textWrapping"/>
      </w:r>
      <w:r>
        <w:rPr>
          <w:rFonts w:hint="eastAsia" w:ascii="宋体" w:hAnsi="宋体" w:eastAsia="宋体" w:cs="宋体"/>
          <w:b w:val="0"/>
          <w:bCs w:val="0"/>
          <w:sz w:val="21"/>
          <w:szCs w:val="21"/>
          <w:highlight w:val="none"/>
        </w:rPr>
        <w:t>②供应商在响应文件中提供虚假材料的；</w:t>
      </w:r>
      <w:r>
        <w:rPr>
          <w:rFonts w:hint="eastAsia" w:ascii="宋体" w:hAnsi="宋体" w:eastAsia="宋体" w:cs="宋体"/>
          <w:b w:val="0"/>
          <w:bCs w:val="0"/>
          <w:sz w:val="21"/>
          <w:szCs w:val="21"/>
          <w:highlight w:val="none"/>
        </w:rPr>
        <w:br w:type="textWrapping"/>
      </w:r>
      <w:r>
        <w:rPr>
          <w:rFonts w:hint="eastAsia" w:ascii="宋体" w:hAnsi="宋体" w:eastAsia="宋体" w:cs="宋体"/>
          <w:b w:val="0"/>
          <w:bCs w:val="0"/>
          <w:sz w:val="21"/>
          <w:szCs w:val="21"/>
          <w:highlight w:val="none"/>
        </w:rPr>
        <w:t>③除因不可抗力或谈判文件、询价通知书认可的情形以外，成交供应商不与采购人签订合同的；</w:t>
      </w:r>
      <w:r>
        <w:rPr>
          <w:rFonts w:hint="eastAsia" w:ascii="宋体" w:hAnsi="宋体" w:eastAsia="宋体" w:cs="宋体"/>
          <w:b w:val="0"/>
          <w:bCs w:val="0"/>
          <w:sz w:val="21"/>
          <w:szCs w:val="21"/>
          <w:highlight w:val="none"/>
        </w:rPr>
        <w:br w:type="textWrapping"/>
      </w:r>
      <w:r>
        <w:rPr>
          <w:rFonts w:hint="eastAsia" w:ascii="宋体" w:hAnsi="宋体" w:eastAsia="宋体" w:cs="宋体"/>
          <w:b w:val="0"/>
          <w:bCs w:val="0"/>
          <w:sz w:val="21"/>
          <w:szCs w:val="21"/>
          <w:highlight w:val="none"/>
        </w:rPr>
        <w:t>④供应商与采购人、其他供应商或者采购代理机构恶意串通、围标、陪标的；</w:t>
      </w:r>
      <w:r>
        <w:rPr>
          <w:rFonts w:hint="eastAsia" w:ascii="宋体" w:hAnsi="宋体" w:eastAsia="宋体" w:cs="宋体"/>
          <w:b w:val="0"/>
          <w:bCs w:val="0"/>
          <w:sz w:val="21"/>
          <w:szCs w:val="21"/>
          <w:highlight w:val="none"/>
        </w:rPr>
        <w:br w:type="textWrapping"/>
      </w:r>
      <w:r>
        <w:rPr>
          <w:rFonts w:hint="eastAsia" w:ascii="宋体" w:hAnsi="宋体" w:eastAsia="宋体" w:cs="宋体"/>
          <w:b w:val="0"/>
          <w:bCs w:val="0"/>
          <w:sz w:val="21"/>
          <w:szCs w:val="21"/>
          <w:highlight w:val="none"/>
        </w:rPr>
        <w:t>⑤供应商有违约违规行为或被投诉、举报的，在调查处理期间，保证金暂不退还，待调查处理结束后按有关规定处理。</w:t>
      </w:r>
      <w:r>
        <w:rPr>
          <w:rFonts w:hint="eastAsia" w:ascii="宋体" w:hAnsi="宋体" w:eastAsia="宋体" w:cs="宋体"/>
          <w:b w:val="0"/>
          <w:bCs w:val="0"/>
          <w:sz w:val="21"/>
          <w:szCs w:val="21"/>
          <w:highlight w:val="none"/>
        </w:rPr>
        <w:br w:type="textWrapping"/>
      </w:r>
      <w:r>
        <w:rPr>
          <w:rFonts w:hint="eastAsia" w:ascii="宋体" w:hAnsi="宋体" w:eastAsia="宋体" w:cs="宋体"/>
          <w:b w:val="0"/>
          <w:bCs w:val="0"/>
          <w:sz w:val="21"/>
          <w:szCs w:val="21"/>
          <w:highlight w:val="none"/>
        </w:rPr>
        <w:t>⑥截至开标前3天，投标人无正当理由、未以书面形式向招标人递交说明而在投标截止日不来投标的。</w:t>
      </w:r>
      <w:r>
        <w:rPr>
          <w:rFonts w:hint="eastAsia" w:ascii="宋体" w:hAnsi="宋体" w:eastAsia="宋体" w:cs="宋体"/>
          <w:b w:val="0"/>
          <w:bCs w:val="0"/>
          <w:sz w:val="21"/>
          <w:szCs w:val="21"/>
          <w:highlight w:val="none"/>
        </w:rPr>
        <w:br w:type="textWrapping"/>
      </w:r>
      <w:r>
        <w:rPr>
          <w:rFonts w:hint="eastAsia" w:ascii="宋体" w:hAnsi="宋体" w:eastAsia="宋体" w:cs="宋体"/>
          <w:b w:val="0"/>
          <w:bCs w:val="0"/>
          <w:sz w:val="21"/>
          <w:szCs w:val="21"/>
          <w:highlight w:val="none"/>
        </w:rPr>
        <w:t>⑦自中标通知书发出之日起30日内，中标人无正当理由投标人无正当签订合同的；</w:t>
      </w:r>
      <w:r>
        <w:rPr>
          <w:rFonts w:hint="eastAsia" w:ascii="宋体" w:hAnsi="宋体" w:eastAsia="宋体" w:cs="宋体"/>
          <w:b w:val="0"/>
          <w:bCs w:val="0"/>
          <w:sz w:val="21"/>
          <w:szCs w:val="21"/>
          <w:highlight w:val="none"/>
        </w:rPr>
        <w:br w:type="textWrapping"/>
      </w:r>
      <w:r>
        <w:rPr>
          <w:rFonts w:hint="eastAsia" w:ascii="宋体" w:hAnsi="宋体" w:eastAsia="宋体" w:cs="宋体"/>
          <w:b w:val="0"/>
          <w:bCs w:val="0"/>
          <w:sz w:val="21"/>
          <w:szCs w:val="21"/>
          <w:highlight w:val="none"/>
        </w:rPr>
        <w:t>⑧采购文件规定的其他情形</w:t>
      </w:r>
      <w:r>
        <w:rPr>
          <w:rFonts w:hint="eastAsia" w:ascii="宋体" w:hAnsi="宋体" w:eastAsia="宋体" w:cs="宋体"/>
          <w:b w:val="0"/>
          <w:bCs w:val="0"/>
          <w:sz w:val="21"/>
          <w:szCs w:val="21"/>
          <w:highlight w:val="none"/>
          <w:lang w:eastAsia="zh-CN"/>
        </w:rPr>
        <w:t>。</w:t>
      </w:r>
    </w:p>
    <w:bookmarkEnd w:id="13"/>
    <w:p w14:paraId="368B6990">
      <w:pPr>
        <w:pStyle w:val="72"/>
      </w:pPr>
      <w:r>
        <w:rPr>
          <w:rFonts w:hint="eastAsia"/>
          <w:lang w:val="en-US" w:eastAsia="zh-CN"/>
        </w:rPr>
        <w:t>开评标</w:t>
      </w:r>
    </w:p>
    <w:p w14:paraId="3EF8D0F8">
      <w:pPr>
        <w:pStyle w:val="72"/>
        <w:keepNext w:val="0"/>
        <w:keepLines w:val="0"/>
        <w:pageBreakBefore w:val="0"/>
        <w:widowControl w:val="0"/>
        <w:numPr>
          <w:ilvl w:val="0"/>
          <w:numId w:val="21"/>
        </w:numPr>
        <w:kinsoku/>
        <w:wordWrap/>
        <w:overflowPunct/>
        <w:topLinePunct w:val="0"/>
        <w:autoSpaceDE/>
        <w:autoSpaceDN/>
        <w:bidi w:val="0"/>
        <w:adjustRightInd/>
        <w:snapToGrid/>
        <w:ind w:left="11" w:leftChars="0" w:firstLine="0" w:firstLineChars="0"/>
        <w:textAlignment w:val="auto"/>
        <w:rPr>
          <w:rFonts w:hint="eastAsia" w:ascii="宋体" w:hAnsi="宋体" w:eastAsia="宋体" w:cs="宋体"/>
          <w:color w:val="000000"/>
          <w:sz w:val="21"/>
          <w:szCs w:val="21"/>
          <w:highlight w:val="none"/>
        </w:rPr>
      </w:pPr>
      <w:r>
        <w:rPr>
          <w:rFonts w:hint="eastAsia" w:ascii="宋体" w:hAnsi="Courier New" w:eastAsia="宋体" w:cs="Times New Roman"/>
          <w:b w:val="0"/>
          <w:bCs/>
          <w:kern w:val="2"/>
          <w:sz w:val="21"/>
          <w:highlight w:val="yellow"/>
          <w:lang w:val="en-US" w:eastAsia="zh-CN" w:bidi="ar-SA"/>
        </w:rPr>
        <w:t>线上招标</w:t>
      </w:r>
      <w:r>
        <w:rPr>
          <w:rFonts w:hint="eastAsia" w:ascii="宋体" w:hAnsi="Courier New" w:eastAsia="宋体" w:cs="Times New Roman"/>
          <w:b w:val="0"/>
          <w:bCs/>
          <w:kern w:val="2"/>
          <w:sz w:val="21"/>
          <w:highlight w:val="none"/>
          <w:lang w:val="en-US" w:eastAsia="zh-CN" w:bidi="ar-SA"/>
        </w:rPr>
        <w:t>：</w:t>
      </w:r>
      <w:r>
        <w:rPr>
          <w:rFonts w:hint="eastAsia" w:ascii="宋体" w:hAnsi="宋体" w:eastAsia="宋体" w:cs="宋体"/>
          <w:b w:val="0"/>
          <w:bCs w:val="0"/>
          <w:sz w:val="21"/>
          <w:szCs w:val="21"/>
          <w:highlight w:val="none"/>
          <w:lang w:val="en-US" w:eastAsia="zh-CN"/>
        </w:rPr>
        <w:t>因招标人原因，各投标方通过视频会议等形式线上招标，所需过程资料均通过e采通进行提报，由</w:t>
      </w:r>
      <w:r>
        <w:rPr>
          <w:rFonts w:hint="eastAsia" w:ascii="宋体" w:hAnsi="宋体" w:eastAsia="宋体" w:cs="宋体"/>
          <w:color w:val="000000"/>
          <w:sz w:val="21"/>
          <w:szCs w:val="21"/>
          <w:highlight w:val="none"/>
        </w:rPr>
        <w:t>招标人创建视频链接</w:t>
      </w:r>
      <w:r>
        <w:rPr>
          <w:rFonts w:hint="eastAsia" w:ascii="宋体" w:hAnsi="宋体" w:eastAsia="宋体" w:cs="宋体"/>
          <w:color w:val="000000"/>
          <w:sz w:val="21"/>
          <w:szCs w:val="21"/>
          <w:highlight w:val="none"/>
          <w:lang w:eastAsia="zh-CN"/>
        </w:rPr>
        <w:t>，</w:t>
      </w:r>
      <w:r>
        <w:rPr>
          <w:rFonts w:hint="eastAsia" w:ascii="宋体" w:hAnsi="宋体" w:eastAsia="宋体" w:cs="宋体"/>
          <w:color w:val="000000"/>
          <w:sz w:val="21"/>
          <w:szCs w:val="21"/>
          <w:highlight w:val="none"/>
        </w:rPr>
        <w:t>并在报名结束后统一通知。</w:t>
      </w:r>
    </w:p>
    <w:p w14:paraId="2C652027">
      <w:pPr>
        <w:pStyle w:val="72"/>
        <w:keepNext w:val="0"/>
        <w:keepLines w:val="0"/>
        <w:pageBreakBefore w:val="0"/>
        <w:widowControl w:val="0"/>
        <w:numPr>
          <w:ilvl w:val="0"/>
          <w:numId w:val="22"/>
        </w:numPr>
        <w:kinsoku/>
        <w:wordWrap/>
        <w:overflowPunct/>
        <w:topLinePunct w:val="0"/>
        <w:autoSpaceDE/>
        <w:autoSpaceDN/>
        <w:bidi w:val="0"/>
        <w:adjustRightInd/>
        <w:snapToGrid/>
        <w:ind w:left="0" w:leftChars="0" w:firstLine="0" w:firstLineChars="0"/>
        <w:textAlignment w:val="auto"/>
        <w:rPr>
          <w:rFonts w:hint="eastAsia" w:ascii="宋体" w:hAnsi="宋体" w:eastAsia="宋体" w:cs="宋体"/>
          <w:b w:val="0"/>
          <w:bCs w:val="0"/>
          <w:sz w:val="21"/>
          <w:szCs w:val="21"/>
          <w:highlight w:val="none"/>
          <w:lang w:val="en-US" w:eastAsia="zh-CN"/>
        </w:rPr>
      </w:pPr>
      <w:r>
        <w:rPr>
          <w:rFonts w:hint="eastAsia" w:ascii="宋体" w:hAnsi="宋体" w:eastAsia="宋体" w:cs="宋体"/>
          <w:b w:val="0"/>
          <w:bCs w:val="0"/>
          <w:sz w:val="21"/>
          <w:szCs w:val="21"/>
          <w:highlight w:val="none"/>
          <w:lang w:val="en-US" w:eastAsia="zh-CN"/>
        </w:rPr>
        <w:t>评标</w:t>
      </w:r>
    </w:p>
    <w:p w14:paraId="6136E50F">
      <w:pPr>
        <w:pStyle w:val="72"/>
        <w:keepNext w:val="0"/>
        <w:keepLines w:val="0"/>
        <w:pageBreakBefore w:val="0"/>
        <w:widowControl w:val="0"/>
        <w:numPr>
          <w:ilvl w:val="0"/>
          <w:numId w:val="23"/>
        </w:numPr>
        <w:kinsoku/>
        <w:wordWrap/>
        <w:overflowPunct/>
        <w:topLinePunct w:val="0"/>
        <w:autoSpaceDE/>
        <w:autoSpaceDN/>
        <w:bidi w:val="0"/>
        <w:adjustRightInd/>
        <w:snapToGrid/>
        <w:ind w:left="0" w:leftChars="0" w:firstLine="0" w:firstLineChars="0"/>
        <w:textAlignment w:val="auto"/>
        <w:rPr>
          <w:rFonts w:hint="eastAsia" w:ascii="宋体" w:hAnsi="宋体" w:eastAsia="宋体" w:cs="宋体"/>
          <w:b w:val="0"/>
          <w:bCs w:val="0"/>
          <w:sz w:val="21"/>
          <w:szCs w:val="21"/>
          <w:highlight w:val="yellow"/>
          <w:lang w:val="en-US" w:eastAsia="zh-CN"/>
        </w:rPr>
      </w:pPr>
      <w:r>
        <w:rPr>
          <w:rFonts w:hint="eastAsia" w:ascii="宋体" w:hAnsi="宋体" w:eastAsia="宋体" w:cs="宋体"/>
          <w:b w:val="0"/>
          <w:bCs w:val="0"/>
          <w:sz w:val="21"/>
          <w:szCs w:val="21"/>
          <w:highlight w:val="yellow"/>
          <w:lang w:val="en-US" w:eastAsia="zh-CN"/>
        </w:rPr>
        <w:t>评标方法</w:t>
      </w:r>
    </w:p>
    <w:p w14:paraId="649C28C4">
      <w:pPr>
        <w:pStyle w:val="75"/>
        <w:keepNext w:val="0"/>
        <w:keepLines w:val="0"/>
        <w:pageBreakBefore w:val="0"/>
        <w:widowControl w:val="0"/>
        <w:numPr>
          <w:ilvl w:val="0"/>
          <w:numId w:val="16"/>
        </w:numPr>
        <w:kinsoku/>
        <w:wordWrap/>
        <w:overflowPunct/>
        <w:topLinePunct w:val="0"/>
        <w:autoSpaceDE/>
        <w:autoSpaceDN/>
        <w:bidi w:val="0"/>
        <w:adjustRightInd/>
        <w:snapToGrid/>
        <w:ind w:left="10" w:leftChars="0" w:firstLine="0"/>
        <w:textAlignment w:val="auto"/>
        <w:rPr>
          <w:rFonts w:hint="eastAsia" w:cs="Times New Roman"/>
          <w:b w:val="0"/>
          <w:bCs/>
          <w:highlight w:val="none"/>
          <w:lang w:val="en-US" w:eastAsia="zh-CN"/>
        </w:rPr>
      </w:pPr>
      <w:r>
        <w:rPr>
          <w:rFonts w:hint="eastAsia" w:cs="Times New Roman"/>
          <w:b w:val="0"/>
          <w:bCs/>
          <w:highlight w:val="none"/>
          <w:lang w:val="en-US" w:eastAsia="zh-CN"/>
        </w:rPr>
        <w:t>评标方法（</w:t>
      </w:r>
      <w:r>
        <w:rPr>
          <w:rFonts w:hint="eastAsia" w:cs="Times New Roman"/>
          <w:b w:val="0"/>
          <w:bCs/>
          <w:highlight w:val="yellow"/>
          <w:lang w:val="en-US" w:eastAsia="zh-CN"/>
        </w:rPr>
        <w:t>合理最低价</w:t>
      </w:r>
      <w:r>
        <w:rPr>
          <w:rFonts w:hint="eastAsia" w:cs="Times New Roman"/>
          <w:b w:val="0"/>
          <w:bCs/>
          <w:highlight w:val="none"/>
          <w:lang w:val="en-US" w:eastAsia="zh-CN"/>
        </w:rPr>
        <w:t>中标）</w:t>
      </w:r>
    </w:p>
    <w:p w14:paraId="4C327271">
      <w:pPr>
        <w:pStyle w:val="72"/>
        <w:keepNext w:val="0"/>
        <w:keepLines w:val="0"/>
        <w:pageBreakBefore w:val="0"/>
        <w:widowControl w:val="0"/>
        <w:numPr>
          <w:ilvl w:val="0"/>
          <w:numId w:val="0"/>
        </w:numPr>
        <w:kinsoku/>
        <w:wordWrap/>
        <w:overflowPunct/>
        <w:topLinePunct w:val="0"/>
        <w:autoSpaceDE/>
        <w:autoSpaceDN/>
        <w:bidi w:val="0"/>
        <w:adjustRightInd/>
        <w:snapToGrid/>
        <w:textAlignment w:val="auto"/>
        <w:rPr>
          <w:rFonts w:hint="eastAsia" w:ascii="宋体" w:hAnsi="宋体" w:eastAsia="宋体" w:cs="宋体"/>
          <w:b w:val="0"/>
          <w:bCs w:val="0"/>
          <w:sz w:val="21"/>
          <w:szCs w:val="21"/>
          <w:highlight w:val="none"/>
          <w:lang w:val="en-US" w:eastAsia="zh-CN"/>
        </w:rPr>
      </w:pPr>
      <w:r>
        <w:rPr>
          <w:rFonts w:hint="eastAsia" w:ascii="宋体" w:hAnsi="宋体" w:eastAsia="宋体" w:cs="宋体"/>
          <w:b w:val="0"/>
          <w:bCs w:val="0"/>
          <w:sz w:val="21"/>
          <w:szCs w:val="21"/>
          <w:highlight w:val="none"/>
          <w:lang w:val="en-US" w:eastAsia="zh-CN"/>
        </w:rPr>
        <w:t>本次招标采用技术标入围后，合理最低价中标。本着公平、公正、公开的原则，在通过技术标综合评审后入围的前提下，选择合理最低价确定中标人，对未中标单位不做任何解释。</w:t>
      </w:r>
    </w:p>
    <w:p w14:paraId="0B2A8F6D">
      <w:pPr>
        <w:pStyle w:val="72"/>
        <w:keepNext w:val="0"/>
        <w:keepLines w:val="0"/>
        <w:pageBreakBefore w:val="0"/>
        <w:widowControl w:val="0"/>
        <w:numPr>
          <w:ilvl w:val="0"/>
          <w:numId w:val="23"/>
        </w:numPr>
        <w:kinsoku/>
        <w:wordWrap/>
        <w:overflowPunct/>
        <w:topLinePunct w:val="0"/>
        <w:autoSpaceDE/>
        <w:autoSpaceDN/>
        <w:bidi w:val="0"/>
        <w:adjustRightInd/>
        <w:snapToGrid/>
        <w:ind w:left="0" w:leftChars="0" w:firstLine="0" w:firstLineChars="0"/>
        <w:textAlignment w:val="auto"/>
        <w:rPr>
          <w:rFonts w:hint="eastAsia" w:ascii="宋体" w:hAnsi="宋体" w:eastAsia="宋体" w:cs="宋体"/>
          <w:b w:val="0"/>
          <w:bCs w:val="0"/>
          <w:sz w:val="21"/>
          <w:szCs w:val="21"/>
          <w:highlight w:val="none"/>
          <w:lang w:val="en-US" w:eastAsia="zh-CN"/>
        </w:rPr>
      </w:pPr>
      <w:r>
        <w:rPr>
          <w:rFonts w:hint="eastAsia" w:ascii="宋体" w:hAnsi="宋体" w:eastAsia="宋体" w:cs="宋体"/>
          <w:b w:val="0"/>
          <w:bCs w:val="0"/>
          <w:sz w:val="21"/>
          <w:szCs w:val="21"/>
          <w:highlight w:val="none"/>
          <w:lang w:val="en-US" w:eastAsia="zh-CN"/>
        </w:rPr>
        <w:t>评标流程</w:t>
      </w:r>
    </w:p>
    <w:p w14:paraId="08C47440">
      <w:pPr>
        <w:keepNext w:val="0"/>
        <w:keepLines w:val="0"/>
        <w:pageBreakBefore w:val="0"/>
        <w:widowControl w:val="0"/>
        <w:numPr>
          <w:ilvl w:val="0"/>
          <w:numId w:val="24"/>
        </w:numPr>
        <w:kinsoku/>
        <w:wordWrap/>
        <w:overflowPunct/>
        <w:topLinePunct w:val="0"/>
        <w:autoSpaceDE/>
        <w:autoSpaceDN/>
        <w:bidi w:val="0"/>
        <w:adjustRightInd/>
        <w:snapToGrid/>
        <w:spacing w:line="360" w:lineRule="auto"/>
        <w:ind w:left="0" w:leftChars="0" w:firstLine="0" w:firstLineChars="0"/>
        <w:textAlignment w:val="auto"/>
        <w:rPr>
          <w:rFonts w:hint="eastAsia" w:ascii="宋体" w:hAnsi="宋体" w:eastAsia="宋体" w:cs="宋体"/>
          <w:b w:val="0"/>
          <w:bCs/>
          <w:color w:val="000000"/>
          <w:sz w:val="21"/>
          <w:szCs w:val="21"/>
          <w:highlight w:val="none"/>
        </w:rPr>
      </w:pPr>
      <w:r>
        <w:rPr>
          <w:rFonts w:hint="eastAsia" w:ascii="宋体" w:hAnsi="宋体" w:eastAsia="宋体" w:cs="宋体"/>
          <w:b w:val="0"/>
          <w:bCs/>
          <w:color w:val="000000"/>
          <w:sz w:val="21"/>
          <w:szCs w:val="21"/>
          <w:highlight w:val="none"/>
        </w:rPr>
        <w:t>应标资格审查：在“中国重汽e采通”应标报名时，按照第</w:t>
      </w:r>
      <w:r>
        <w:rPr>
          <w:rFonts w:hint="eastAsia" w:ascii="宋体" w:hAnsi="宋体" w:eastAsia="宋体" w:cs="宋体"/>
          <w:b w:val="0"/>
          <w:bCs/>
          <w:color w:val="000000"/>
          <w:sz w:val="21"/>
          <w:szCs w:val="21"/>
          <w:highlight w:val="none"/>
          <w:lang w:val="en-US" w:eastAsia="zh-CN"/>
        </w:rPr>
        <w:t>一</w:t>
      </w:r>
      <w:r>
        <w:rPr>
          <w:rFonts w:hint="eastAsia" w:ascii="宋体" w:hAnsi="宋体" w:eastAsia="宋体" w:cs="宋体"/>
          <w:b w:val="0"/>
          <w:bCs/>
          <w:color w:val="000000"/>
          <w:sz w:val="21"/>
          <w:szCs w:val="21"/>
          <w:highlight w:val="none"/>
        </w:rPr>
        <w:t>部分第</w:t>
      </w:r>
      <w:r>
        <w:rPr>
          <w:rFonts w:hint="eastAsia" w:ascii="宋体" w:hAnsi="宋体" w:eastAsia="宋体" w:cs="宋体"/>
          <w:b w:val="0"/>
          <w:bCs/>
          <w:color w:val="000000"/>
          <w:sz w:val="21"/>
          <w:szCs w:val="21"/>
          <w:highlight w:val="none"/>
          <w:lang w:val="en-US" w:eastAsia="zh-CN"/>
        </w:rPr>
        <w:t>四</w:t>
      </w:r>
      <w:r>
        <w:rPr>
          <w:rFonts w:hint="eastAsia" w:ascii="宋体" w:hAnsi="宋体" w:eastAsia="宋体" w:cs="宋体"/>
          <w:b w:val="0"/>
          <w:bCs/>
          <w:color w:val="000000"/>
          <w:sz w:val="21"/>
          <w:szCs w:val="21"/>
          <w:highlight w:val="none"/>
        </w:rPr>
        <w:t>条投标文件</w:t>
      </w:r>
      <w:r>
        <w:rPr>
          <w:rFonts w:hint="eastAsia" w:ascii="宋体" w:hAnsi="宋体" w:eastAsia="宋体" w:cs="宋体"/>
          <w:b w:val="0"/>
          <w:bCs/>
          <w:color w:val="000000"/>
          <w:sz w:val="21"/>
          <w:szCs w:val="21"/>
          <w:highlight w:val="none"/>
          <w:lang w:val="en-US" w:eastAsia="zh-CN"/>
        </w:rPr>
        <w:t>编制</w:t>
      </w:r>
      <w:r>
        <w:rPr>
          <w:rFonts w:hint="eastAsia" w:ascii="宋体" w:hAnsi="宋体" w:eastAsia="宋体" w:cs="宋体"/>
          <w:b w:val="0"/>
          <w:bCs/>
          <w:color w:val="000000"/>
          <w:sz w:val="21"/>
          <w:szCs w:val="21"/>
          <w:highlight w:val="none"/>
        </w:rPr>
        <w:t>资格证明文件中的1.1-1.1</w:t>
      </w:r>
      <w:r>
        <w:rPr>
          <w:rFonts w:hint="eastAsia" w:ascii="宋体" w:hAnsi="宋体" w:eastAsia="宋体" w:cs="宋体"/>
          <w:b w:val="0"/>
          <w:bCs/>
          <w:color w:val="000000"/>
          <w:sz w:val="21"/>
          <w:szCs w:val="21"/>
          <w:highlight w:val="none"/>
          <w:lang w:val="en-US" w:eastAsia="zh-CN"/>
        </w:rPr>
        <w:t>1</w:t>
      </w:r>
      <w:r>
        <w:rPr>
          <w:rFonts w:hint="eastAsia" w:ascii="宋体" w:hAnsi="宋体" w:eastAsia="宋体" w:cs="宋体"/>
          <w:b w:val="0"/>
          <w:bCs/>
          <w:color w:val="000000"/>
          <w:sz w:val="21"/>
          <w:szCs w:val="21"/>
          <w:highlight w:val="none"/>
        </w:rPr>
        <w:t>准备资料，上传完毕后，等待审核；</w:t>
      </w:r>
    </w:p>
    <w:p w14:paraId="3925B8AD">
      <w:pPr>
        <w:keepNext w:val="0"/>
        <w:keepLines w:val="0"/>
        <w:pageBreakBefore w:val="0"/>
        <w:widowControl w:val="0"/>
        <w:numPr>
          <w:ilvl w:val="0"/>
          <w:numId w:val="24"/>
        </w:numPr>
        <w:kinsoku/>
        <w:wordWrap/>
        <w:overflowPunct/>
        <w:topLinePunct w:val="0"/>
        <w:autoSpaceDE/>
        <w:autoSpaceDN/>
        <w:bidi w:val="0"/>
        <w:adjustRightInd/>
        <w:snapToGrid/>
        <w:spacing w:line="360" w:lineRule="auto"/>
        <w:ind w:left="0" w:leftChars="0" w:firstLine="0" w:firstLineChars="0"/>
        <w:textAlignment w:val="auto"/>
        <w:rPr>
          <w:rFonts w:hint="eastAsia" w:ascii="宋体" w:hAnsi="宋体" w:eastAsia="宋体" w:cs="宋体"/>
          <w:b w:val="0"/>
          <w:bCs/>
          <w:color w:val="000000"/>
          <w:sz w:val="21"/>
          <w:szCs w:val="21"/>
          <w:highlight w:val="none"/>
        </w:rPr>
      </w:pPr>
      <w:r>
        <w:rPr>
          <w:rFonts w:hint="eastAsia" w:ascii="宋体" w:hAnsi="宋体" w:eastAsia="宋体" w:cs="宋体"/>
          <w:b w:val="0"/>
          <w:bCs/>
          <w:color w:val="000000"/>
          <w:sz w:val="21"/>
          <w:szCs w:val="21"/>
          <w:highlight w:val="none"/>
        </w:rPr>
        <w:t>通过应标资格审查的单位进入投标环节，按照“SRM系统供应商用户手册”，在重汽e采通平台投递电子标书（包含资质标、技术标、商务标）；没有通过应标资质审查的单位不能进入投标环节；</w:t>
      </w:r>
    </w:p>
    <w:p w14:paraId="3B34C86F">
      <w:pPr>
        <w:keepNext w:val="0"/>
        <w:keepLines w:val="0"/>
        <w:pageBreakBefore w:val="0"/>
        <w:widowControl w:val="0"/>
        <w:numPr>
          <w:ilvl w:val="0"/>
          <w:numId w:val="24"/>
        </w:numPr>
        <w:kinsoku/>
        <w:wordWrap/>
        <w:overflowPunct/>
        <w:topLinePunct w:val="0"/>
        <w:autoSpaceDE/>
        <w:autoSpaceDN/>
        <w:bidi w:val="0"/>
        <w:adjustRightInd/>
        <w:snapToGrid/>
        <w:spacing w:line="360" w:lineRule="auto"/>
        <w:ind w:left="0" w:leftChars="0" w:firstLine="0" w:firstLineChars="0"/>
        <w:textAlignment w:val="auto"/>
        <w:rPr>
          <w:rFonts w:hint="eastAsia" w:ascii="宋体" w:hAnsi="宋体" w:eastAsia="宋体" w:cs="宋体"/>
          <w:b w:val="0"/>
          <w:bCs/>
          <w:color w:val="000000"/>
          <w:sz w:val="21"/>
          <w:szCs w:val="21"/>
          <w:highlight w:val="none"/>
        </w:rPr>
      </w:pPr>
      <w:r>
        <w:rPr>
          <w:rFonts w:hint="eastAsia" w:ascii="宋体" w:hAnsi="宋体" w:eastAsia="宋体" w:cs="宋体"/>
          <w:b w:val="0"/>
          <w:bCs/>
          <w:color w:val="000000"/>
          <w:sz w:val="21"/>
          <w:szCs w:val="21"/>
          <w:highlight w:val="none"/>
        </w:rPr>
        <w:t>资质标评审：资质标审核通过的单位，可以进入公开唱标环节；</w:t>
      </w:r>
    </w:p>
    <w:p w14:paraId="7E63C2E8">
      <w:pPr>
        <w:keepNext w:val="0"/>
        <w:keepLines w:val="0"/>
        <w:pageBreakBefore w:val="0"/>
        <w:widowControl w:val="0"/>
        <w:numPr>
          <w:ilvl w:val="0"/>
          <w:numId w:val="24"/>
        </w:numPr>
        <w:kinsoku/>
        <w:wordWrap/>
        <w:overflowPunct/>
        <w:topLinePunct w:val="0"/>
        <w:autoSpaceDE/>
        <w:autoSpaceDN/>
        <w:bidi w:val="0"/>
        <w:adjustRightInd/>
        <w:snapToGrid/>
        <w:spacing w:line="360" w:lineRule="auto"/>
        <w:ind w:left="0" w:leftChars="0" w:firstLine="0" w:firstLineChars="0"/>
        <w:textAlignment w:val="auto"/>
        <w:rPr>
          <w:rFonts w:hint="eastAsia" w:ascii="宋体" w:hAnsi="宋体" w:eastAsia="宋体" w:cs="宋体"/>
          <w:b w:val="0"/>
          <w:bCs/>
          <w:color w:val="000000"/>
          <w:sz w:val="21"/>
          <w:szCs w:val="21"/>
          <w:highlight w:val="none"/>
        </w:rPr>
      </w:pPr>
      <w:r>
        <w:rPr>
          <w:rFonts w:hint="eastAsia" w:ascii="宋体" w:hAnsi="宋体" w:eastAsia="宋体" w:cs="宋体"/>
          <w:b w:val="0"/>
          <w:bCs/>
          <w:color w:val="000000"/>
          <w:sz w:val="21"/>
          <w:szCs w:val="21"/>
          <w:highlight w:val="none"/>
        </w:rPr>
        <w:t>公开唱标：公示资质标入围单位的开标价格及商务条款响应情况；</w:t>
      </w:r>
    </w:p>
    <w:p w14:paraId="17C23BBD">
      <w:pPr>
        <w:keepNext w:val="0"/>
        <w:keepLines w:val="0"/>
        <w:pageBreakBefore w:val="0"/>
        <w:widowControl w:val="0"/>
        <w:numPr>
          <w:ilvl w:val="0"/>
          <w:numId w:val="24"/>
        </w:numPr>
        <w:kinsoku/>
        <w:wordWrap/>
        <w:overflowPunct/>
        <w:topLinePunct w:val="0"/>
        <w:autoSpaceDE/>
        <w:autoSpaceDN/>
        <w:bidi w:val="0"/>
        <w:adjustRightInd/>
        <w:snapToGrid/>
        <w:spacing w:line="360" w:lineRule="auto"/>
        <w:ind w:left="0" w:leftChars="0" w:firstLine="0" w:firstLineChars="0"/>
        <w:textAlignment w:val="auto"/>
        <w:rPr>
          <w:rFonts w:hint="eastAsia" w:ascii="宋体" w:hAnsi="宋体" w:eastAsia="宋体" w:cs="宋体"/>
          <w:b w:val="0"/>
          <w:bCs/>
          <w:color w:val="000000"/>
          <w:sz w:val="21"/>
          <w:szCs w:val="21"/>
          <w:highlight w:val="none"/>
        </w:rPr>
      </w:pPr>
      <w:r>
        <w:rPr>
          <w:rFonts w:hint="eastAsia" w:ascii="宋体" w:hAnsi="宋体" w:eastAsia="宋体" w:cs="宋体"/>
          <w:b w:val="0"/>
          <w:bCs/>
          <w:color w:val="000000"/>
          <w:sz w:val="21"/>
          <w:szCs w:val="21"/>
          <w:highlight w:val="none"/>
        </w:rPr>
        <w:t>商务标评审：商务条款相应确认→价格澄清→商务标评审；评审期间产生的商务价格澄清均由投标人在重汽e采通平台限时内完成提交；</w:t>
      </w:r>
    </w:p>
    <w:p w14:paraId="0662E4D4">
      <w:pPr>
        <w:pStyle w:val="75"/>
        <w:keepNext w:val="0"/>
        <w:keepLines w:val="0"/>
        <w:pageBreakBefore w:val="0"/>
        <w:widowControl w:val="0"/>
        <w:numPr>
          <w:ilvl w:val="0"/>
          <w:numId w:val="16"/>
        </w:numPr>
        <w:kinsoku/>
        <w:wordWrap/>
        <w:overflowPunct/>
        <w:topLinePunct w:val="0"/>
        <w:autoSpaceDE/>
        <w:autoSpaceDN/>
        <w:bidi w:val="0"/>
        <w:adjustRightInd/>
        <w:snapToGrid/>
        <w:ind w:left="10" w:leftChars="0" w:firstLine="0"/>
        <w:textAlignment w:val="auto"/>
        <w:rPr>
          <w:rFonts w:hint="default" w:ascii="宋体" w:hAnsi="宋体" w:eastAsia="宋体" w:cs="宋体"/>
          <w:b w:val="0"/>
          <w:bCs/>
          <w:sz w:val="24"/>
          <w:szCs w:val="24"/>
          <w:highlight w:val="none"/>
          <w:lang w:val="en-US" w:eastAsia="zh-CN"/>
        </w:rPr>
      </w:pPr>
      <w:r>
        <w:rPr>
          <w:rFonts w:hint="eastAsia" w:cs="Times New Roman"/>
          <w:b w:val="0"/>
          <w:bCs/>
          <w:highlight w:val="none"/>
        </w:rPr>
        <w:t>注意：投标人均需要自带笔记本电脑在重汽e采通进行自主投标和提交澄清函；投标和提交澄清函均有时间限制，超时未提交的按无效处理。</w:t>
      </w:r>
    </w:p>
    <w:p w14:paraId="0EF571DF">
      <w:pPr>
        <w:pStyle w:val="15"/>
        <w:spacing w:line="360" w:lineRule="auto"/>
        <w:jc w:val="center"/>
        <w:rPr>
          <w:rFonts w:hint="default" w:ascii="黑体" w:eastAsia="黑体"/>
          <w:b/>
          <w:bCs/>
          <w:sz w:val="28"/>
          <w:lang w:val="en-US" w:eastAsia="zh-CN"/>
        </w:rPr>
      </w:pPr>
      <w:r>
        <w:rPr>
          <w:rFonts w:hint="eastAsia" w:ascii="黑体" w:eastAsia="黑体"/>
          <w:b/>
          <w:bCs/>
          <w:sz w:val="28"/>
          <w:lang w:val="en-US" w:eastAsia="zh-CN"/>
        </w:rPr>
        <w:t>评分标准</w:t>
      </w:r>
    </w:p>
    <w:p w14:paraId="54F8CD39">
      <w:pPr>
        <w:rPr>
          <w:rFonts w:hint="eastAsia" w:ascii="宋体" w:hAnsi="宋体" w:eastAsia="宋体" w:cs="Times New Roman"/>
          <w:b/>
          <w:bCs/>
          <w:color w:val="FF0000"/>
          <w:szCs w:val="22"/>
          <w:highlight w:val="none"/>
          <w:lang w:val="en-US" w:eastAsia="zh-CN"/>
        </w:rPr>
      </w:pPr>
    </w:p>
    <w:p w14:paraId="09E4644F">
      <w:pPr>
        <w:keepNext w:val="0"/>
        <w:keepLines w:val="0"/>
        <w:pageBreakBefore w:val="0"/>
        <w:widowControl/>
        <w:suppressLineNumbers w:val="0"/>
        <w:kinsoku/>
        <w:wordWrap/>
        <w:overflowPunct/>
        <w:topLinePunct w:val="0"/>
        <w:autoSpaceDE/>
        <w:autoSpaceDN/>
        <w:bidi w:val="0"/>
        <w:adjustRightInd/>
        <w:snapToGrid/>
        <w:spacing w:line="400" w:lineRule="exact"/>
        <w:ind w:firstLine="440" w:firstLineChars="200"/>
        <w:jc w:val="left"/>
        <w:textAlignment w:val="auto"/>
        <w:rPr>
          <w:rFonts w:hint="eastAsia"/>
          <w:color w:val="000000"/>
          <w:sz w:val="24"/>
          <w:szCs w:val="24"/>
        </w:rPr>
      </w:pPr>
      <w:r>
        <w:rPr>
          <w:rFonts w:hint="eastAsia"/>
          <w:color w:val="000000"/>
          <w:sz w:val="22"/>
          <w:szCs w:val="22"/>
          <w:lang w:val="en-US" w:eastAsia="zh-CN"/>
        </w:rPr>
        <w:t>1、本项目采用</w:t>
      </w:r>
      <w:r>
        <w:rPr>
          <w:rFonts w:ascii="仿宋_GB2312" w:hAnsi="宋体" w:eastAsia="仿宋_GB2312" w:cs="仿宋_GB2312"/>
          <w:color w:val="FF0000"/>
          <w:kern w:val="0"/>
          <w:sz w:val="24"/>
          <w:szCs w:val="24"/>
          <w:lang w:val="en-US" w:eastAsia="zh-CN" w:bidi="ar"/>
        </w:rPr>
        <w:t>技术入围</w:t>
      </w:r>
      <w:r>
        <w:rPr>
          <w:rFonts w:hint="eastAsia" w:ascii="仿宋_GB2312" w:hAnsi="宋体" w:eastAsia="仿宋_GB2312" w:cs="仿宋_GB2312"/>
          <w:color w:val="FF0000"/>
          <w:kern w:val="0"/>
          <w:sz w:val="24"/>
          <w:szCs w:val="24"/>
          <w:lang w:val="en-US" w:eastAsia="zh-CN" w:bidi="ar"/>
        </w:rPr>
        <w:t>合理最低价中标方式。</w:t>
      </w:r>
    </w:p>
    <w:p w14:paraId="3BCDE8E5">
      <w:pPr>
        <w:pStyle w:val="15"/>
        <w:keepNext w:val="0"/>
        <w:keepLines w:val="0"/>
        <w:pageBreakBefore w:val="0"/>
        <w:kinsoku/>
        <w:wordWrap/>
        <w:overflowPunct/>
        <w:topLinePunct w:val="0"/>
        <w:autoSpaceDE/>
        <w:autoSpaceDN/>
        <w:bidi w:val="0"/>
        <w:adjustRightInd/>
        <w:snapToGrid/>
        <w:spacing w:line="420" w:lineRule="exact"/>
        <w:ind w:firstLine="440" w:firstLineChars="200"/>
        <w:textAlignment w:val="auto"/>
        <w:rPr>
          <w:rFonts w:hint="eastAsia" w:ascii="宋体" w:hAnsi="宋体" w:eastAsia="宋体" w:cs="宋体"/>
          <w:color w:val="auto"/>
          <w:sz w:val="22"/>
          <w:szCs w:val="22"/>
          <w:highlight w:val="none"/>
        </w:rPr>
      </w:pPr>
      <w:r>
        <w:rPr>
          <w:rFonts w:hint="eastAsia" w:ascii="宋体" w:hAnsi="宋体" w:eastAsia="宋体" w:cs="宋体"/>
          <w:color w:val="auto"/>
          <w:sz w:val="22"/>
          <w:szCs w:val="22"/>
          <w:highlight w:val="none"/>
          <w:lang w:val="en-US" w:eastAsia="zh-CN"/>
        </w:rPr>
        <w:t>1.1</w:t>
      </w:r>
      <w:r>
        <w:rPr>
          <w:rFonts w:hint="eastAsia" w:ascii="宋体" w:hAnsi="宋体" w:eastAsia="宋体" w:cs="宋体"/>
          <w:color w:val="auto"/>
          <w:sz w:val="22"/>
          <w:szCs w:val="22"/>
          <w:highlight w:val="none"/>
        </w:rPr>
        <w:t>通过资质审验的投标方进入</w:t>
      </w:r>
      <w:r>
        <w:rPr>
          <w:rFonts w:hint="eastAsia" w:ascii="宋体" w:hAnsi="宋体" w:eastAsia="宋体" w:cs="宋体"/>
          <w:color w:val="auto"/>
          <w:sz w:val="22"/>
          <w:szCs w:val="22"/>
          <w:highlight w:val="none"/>
          <w:lang w:val="en-US" w:eastAsia="zh-CN"/>
        </w:rPr>
        <w:t>技术标</w:t>
      </w:r>
      <w:r>
        <w:rPr>
          <w:rFonts w:hint="eastAsia" w:ascii="宋体" w:hAnsi="宋体" w:eastAsia="宋体" w:cs="宋体"/>
          <w:color w:val="auto"/>
          <w:sz w:val="22"/>
          <w:szCs w:val="22"/>
          <w:highlight w:val="none"/>
        </w:rPr>
        <w:t>环节。</w:t>
      </w:r>
    </w:p>
    <w:p w14:paraId="735D303A">
      <w:pPr>
        <w:keepNext w:val="0"/>
        <w:keepLines w:val="0"/>
        <w:pageBreakBefore w:val="0"/>
        <w:widowControl/>
        <w:suppressLineNumbers w:val="0"/>
        <w:kinsoku/>
        <w:wordWrap/>
        <w:overflowPunct/>
        <w:topLinePunct w:val="0"/>
        <w:autoSpaceDE/>
        <w:autoSpaceDN/>
        <w:bidi w:val="0"/>
        <w:adjustRightInd/>
        <w:snapToGrid/>
        <w:spacing w:line="420" w:lineRule="exact"/>
        <w:ind w:firstLine="440" w:firstLineChars="200"/>
        <w:jc w:val="left"/>
        <w:textAlignment w:val="auto"/>
        <w:rPr>
          <w:rFonts w:hint="default" w:ascii="宋体" w:hAnsi="宋体" w:eastAsia="宋体" w:cs="宋体"/>
          <w:color w:val="auto"/>
          <w:sz w:val="22"/>
          <w:szCs w:val="22"/>
          <w:highlight w:val="none"/>
          <w:lang w:val="en-US" w:eastAsia="zh-CN"/>
        </w:rPr>
      </w:pPr>
      <w:r>
        <w:rPr>
          <w:rFonts w:hint="eastAsia" w:ascii="宋体" w:hAnsi="宋体" w:eastAsia="宋体" w:cs="宋体"/>
          <w:color w:val="auto"/>
          <w:sz w:val="22"/>
          <w:szCs w:val="22"/>
          <w:highlight w:val="none"/>
          <w:lang w:val="en-US" w:eastAsia="zh-CN"/>
        </w:rPr>
        <w:t>1.2技术标：</w:t>
      </w:r>
      <w:r>
        <w:rPr>
          <w:rFonts w:hint="eastAsia" w:ascii="宋体" w:hAnsi="宋体" w:eastAsia="宋体" w:cs="宋体"/>
          <w:color w:val="auto"/>
          <w:kern w:val="0"/>
          <w:sz w:val="22"/>
          <w:szCs w:val="22"/>
          <w:highlight w:val="none"/>
          <w:u w:val="single"/>
          <w:lang w:val="en-US" w:eastAsia="zh-CN" w:bidi="ar"/>
        </w:rPr>
        <w:t>在满足技术要求，技术标得分不小于</w:t>
      </w:r>
      <w:r>
        <w:rPr>
          <w:rFonts w:hint="eastAsia" w:ascii="宋体" w:hAnsi="宋体" w:cs="宋体"/>
          <w:color w:val="auto"/>
          <w:kern w:val="0"/>
          <w:sz w:val="22"/>
          <w:szCs w:val="22"/>
          <w:highlight w:val="none"/>
          <w:u w:val="single"/>
          <w:lang w:val="en-US" w:eastAsia="zh-CN" w:bidi="ar"/>
        </w:rPr>
        <w:t>7</w:t>
      </w:r>
      <w:r>
        <w:rPr>
          <w:rFonts w:hint="eastAsia" w:ascii="宋体" w:hAnsi="宋体" w:eastAsia="宋体" w:cs="宋体"/>
          <w:color w:val="auto"/>
          <w:kern w:val="0"/>
          <w:sz w:val="22"/>
          <w:szCs w:val="22"/>
          <w:highlight w:val="none"/>
          <w:u w:val="single"/>
          <w:lang w:val="en-US" w:eastAsia="zh-CN" w:bidi="ar"/>
        </w:rPr>
        <w:t>0分的前提下（含技术澄清），推荐进入商务标。</w:t>
      </w:r>
    </w:p>
    <w:p w14:paraId="3CA24381">
      <w:pPr>
        <w:pStyle w:val="15"/>
        <w:spacing w:line="360" w:lineRule="auto"/>
        <w:rPr>
          <w:rFonts w:ascii="Times New Roman" w:hAnsi="Times New Roman"/>
          <w:color w:val="000000"/>
          <w:sz w:val="24"/>
          <w:szCs w:val="24"/>
        </w:rPr>
      </w:pPr>
    </w:p>
    <w:p w14:paraId="098C04DB">
      <w:pPr>
        <w:pStyle w:val="15"/>
        <w:spacing w:line="240" w:lineRule="auto"/>
        <w:rPr>
          <w:rFonts w:hint="eastAsia" w:ascii="Times New Roman" w:hAnsi="Times New Roman"/>
          <w:color w:val="000000"/>
          <w:sz w:val="24"/>
          <w:szCs w:val="24"/>
        </w:rPr>
      </w:pPr>
    </w:p>
    <w:p w14:paraId="551E64EE">
      <w:pPr>
        <w:pStyle w:val="15"/>
        <w:spacing w:line="240" w:lineRule="auto"/>
        <w:rPr>
          <w:rFonts w:hint="default" w:ascii="Times New Roman" w:hAnsi="Times New Roman" w:eastAsia="宋体"/>
          <w:color w:val="000000"/>
          <w:sz w:val="24"/>
          <w:szCs w:val="24"/>
          <w:lang w:val="en-US" w:eastAsia="zh-CN"/>
        </w:rPr>
      </w:pPr>
      <w:r>
        <w:rPr>
          <w:rFonts w:hint="eastAsia" w:ascii="Times New Roman" w:hAnsi="Times New Roman"/>
          <w:color w:val="000000"/>
          <w:sz w:val="24"/>
          <w:szCs w:val="24"/>
          <w:lang w:val="en-US" w:eastAsia="zh-CN"/>
        </w:rPr>
        <w:t>技术评分标准：</w:t>
      </w:r>
    </w:p>
    <w:p w14:paraId="07C07205">
      <w:pPr>
        <w:pStyle w:val="15"/>
        <w:spacing w:line="240" w:lineRule="auto"/>
        <w:rPr>
          <w:rFonts w:hint="eastAsia" w:ascii="Times New Roman" w:hAnsi="Times New Roman"/>
          <w:color w:val="000000"/>
          <w:sz w:val="24"/>
          <w:szCs w:val="24"/>
        </w:rPr>
      </w:pPr>
    </w:p>
    <w:tbl>
      <w:tblPr>
        <w:tblStyle w:val="31"/>
        <w:tblpPr w:leftFromText="180" w:rightFromText="180" w:vertAnchor="page" w:horzAnchor="margin" w:tblpXSpec="center" w:tblpY="1936"/>
        <w:tblW w:w="978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48"/>
        <w:gridCol w:w="824"/>
        <w:gridCol w:w="1697"/>
        <w:gridCol w:w="6411"/>
      </w:tblGrid>
      <w:tr w14:paraId="6F4705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8" w:hRule="atLeast"/>
        </w:trPr>
        <w:tc>
          <w:tcPr>
            <w:tcW w:w="848" w:type="dxa"/>
            <w:noWrap w:val="0"/>
            <w:vAlign w:val="center"/>
          </w:tcPr>
          <w:p w14:paraId="3FC374F5">
            <w:pPr>
              <w:pStyle w:val="15"/>
              <w:spacing w:line="360" w:lineRule="auto"/>
              <w:rPr>
                <w:bCs/>
                <w:color w:val="000000"/>
                <w:sz w:val="24"/>
                <w:szCs w:val="24"/>
              </w:rPr>
            </w:pPr>
            <w:r>
              <w:rPr>
                <w:rFonts w:hint="eastAsia"/>
                <w:bCs/>
                <w:color w:val="000000"/>
                <w:sz w:val="24"/>
                <w:szCs w:val="24"/>
              </w:rPr>
              <w:t>序号</w:t>
            </w:r>
          </w:p>
        </w:tc>
        <w:tc>
          <w:tcPr>
            <w:tcW w:w="824" w:type="dxa"/>
            <w:noWrap w:val="0"/>
            <w:vAlign w:val="center"/>
          </w:tcPr>
          <w:p w14:paraId="06F1170E">
            <w:pPr>
              <w:pStyle w:val="15"/>
              <w:spacing w:line="360" w:lineRule="auto"/>
              <w:rPr>
                <w:bCs/>
                <w:color w:val="000000"/>
                <w:sz w:val="24"/>
                <w:szCs w:val="24"/>
              </w:rPr>
            </w:pPr>
            <w:r>
              <w:rPr>
                <w:rFonts w:hint="eastAsia" w:hAnsi="宋体" w:eastAsia="宋体" w:cs="宋体"/>
                <w:bCs/>
                <w:color w:val="000000"/>
                <w:sz w:val="24"/>
                <w:szCs w:val="24"/>
              </w:rPr>
              <w:t>类别</w:t>
            </w:r>
          </w:p>
        </w:tc>
        <w:tc>
          <w:tcPr>
            <w:tcW w:w="8108" w:type="dxa"/>
            <w:gridSpan w:val="2"/>
            <w:noWrap w:val="0"/>
            <w:vAlign w:val="center"/>
          </w:tcPr>
          <w:p w14:paraId="31F87F55">
            <w:pPr>
              <w:pStyle w:val="15"/>
              <w:spacing w:line="360" w:lineRule="auto"/>
              <w:ind w:firstLine="2160" w:firstLineChars="900"/>
              <w:rPr>
                <w:b/>
                <w:bCs/>
                <w:color w:val="000000"/>
                <w:sz w:val="24"/>
                <w:szCs w:val="24"/>
              </w:rPr>
            </w:pPr>
            <w:r>
              <w:rPr>
                <w:rFonts w:hint="eastAsia" w:hAnsi="宋体" w:eastAsia="宋体" w:cs="宋体"/>
                <w:bCs/>
                <w:color w:val="000000"/>
                <w:sz w:val="24"/>
                <w:szCs w:val="24"/>
              </w:rPr>
              <w:t>评审内容</w:t>
            </w:r>
            <w:r>
              <w:rPr>
                <w:rFonts w:hint="eastAsia"/>
                <w:bCs/>
                <w:color w:val="000000"/>
                <w:sz w:val="24"/>
                <w:szCs w:val="24"/>
              </w:rPr>
              <w:t>(</w:t>
            </w:r>
            <w:r>
              <w:rPr>
                <w:rFonts w:hint="eastAsia"/>
                <w:bCs/>
                <w:color w:val="000000"/>
                <w:sz w:val="24"/>
                <w:szCs w:val="24"/>
                <w:lang w:val="en-US" w:eastAsia="zh-CN"/>
              </w:rPr>
              <w:t>满分</w:t>
            </w:r>
            <w:r>
              <w:rPr>
                <w:rFonts w:hint="eastAsia"/>
                <w:bCs/>
                <w:color w:val="000000"/>
                <w:sz w:val="24"/>
                <w:szCs w:val="24"/>
              </w:rPr>
              <w:t>100</w:t>
            </w:r>
            <w:r>
              <w:rPr>
                <w:rFonts w:hint="eastAsia" w:hAnsi="宋体" w:eastAsia="宋体" w:cs="宋体"/>
                <w:bCs/>
                <w:color w:val="000000"/>
                <w:sz w:val="24"/>
                <w:szCs w:val="24"/>
              </w:rPr>
              <w:t>分</w:t>
            </w:r>
            <w:r>
              <w:rPr>
                <w:rFonts w:hint="eastAsia"/>
                <w:bCs/>
                <w:color w:val="000000"/>
                <w:sz w:val="24"/>
                <w:szCs w:val="24"/>
              </w:rPr>
              <w:t>)</w:t>
            </w:r>
          </w:p>
        </w:tc>
      </w:tr>
      <w:tr w14:paraId="3BA9F3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53" w:hRule="atLeast"/>
        </w:trPr>
        <w:tc>
          <w:tcPr>
            <w:tcW w:w="848" w:type="dxa"/>
            <w:noWrap w:val="0"/>
            <w:vAlign w:val="center"/>
          </w:tcPr>
          <w:p w14:paraId="7B7EC356">
            <w:pPr>
              <w:pStyle w:val="15"/>
              <w:spacing w:line="360" w:lineRule="auto"/>
              <w:jc w:val="center"/>
              <w:rPr>
                <w:bCs/>
                <w:color w:val="000000"/>
                <w:sz w:val="24"/>
                <w:szCs w:val="24"/>
              </w:rPr>
            </w:pPr>
            <w:r>
              <w:rPr>
                <w:rFonts w:hint="eastAsia"/>
                <w:bCs/>
                <w:color w:val="000000"/>
                <w:sz w:val="24"/>
                <w:szCs w:val="24"/>
              </w:rPr>
              <w:t>1</w:t>
            </w:r>
          </w:p>
        </w:tc>
        <w:tc>
          <w:tcPr>
            <w:tcW w:w="824" w:type="dxa"/>
            <w:vMerge w:val="restart"/>
            <w:noWrap w:val="0"/>
            <w:vAlign w:val="center"/>
          </w:tcPr>
          <w:p w14:paraId="1AE4913D">
            <w:pPr>
              <w:pStyle w:val="15"/>
              <w:spacing w:line="360" w:lineRule="auto"/>
              <w:jc w:val="center"/>
              <w:rPr>
                <w:rFonts w:hint="eastAsia" w:hAnsi="宋体" w:eastAsia="宋体" w:cs="宋体"/>
                <w:bCs/>
                <w:color w:val="000000"/>
                <w:sz w:val="24"/>
                <w:szCs w:val="24"/>
              </w:rPr>
            </w:pPr>
            <w:r>
              <w:rPr>
                <w:rFonts w:hint="eastAsia" w:hAnsi="宋体" w:eastAsia="宋体" w:cs="宋体"/>
                <w:bCs/>
                <w:color w:val="000000"/>
                <w:sz w:val="24"/>
                <w:szCs w:val="24"/>
              </w:rPr>
              <w:t>技</w:t>
            </w:r>
          </w:p>
          <w:p w14:paraId="3159E83D">
            <w:pPr>
              <w:pStyle w:val="15"/>
              <w:spacing w:line="360" w:lineRule="auto"/>
              <w:jc w:val="center"/>
              <w:rPr>
                <w:bCs/>
                <w:color w:val="000000"/>
                <w:sz w:val="24"/>
                <w:szCs w:val="24"/>
              </w:rPr>
            </w:pPr>
            <w:r>
              <w:rPr>
                <w:rFonts w:hint="eastAsia" w:hAnsi="宋体" w:eastAsia="宋体" w:cs="宋体"/>
                <w:bCs/>
                <w:color w:val="000000"/>
                <w:sz w:val="24"/>
                <w:szCs w:val="24"/>
              </w:rPr>
              <w:t>术</w:t>
            </w:r>
          </w:p>
          <w:p w14:paraId="59608216">
            <w:pPr>
              <w:pStyle w:val="15"/>
              <w:spacing w:line="360" w:lineRule="auto"/>
              <w:jc w:val="center"/>
              <w:rPr>
                <w:rFonts w:hint="eastAsia" w:hAnsi="宋体" w:eastAsia="宋体" w:cs="宋体"/>
                <w:bCs/>
                <w:color w:val="000000"/>
                <w:sz w:val="24"/>
                <w:szCs w:val="24"/>
              </w:rPr>
            </w:pPr>
            <w:r>
              <w:rPr>
                <w:rFonts w:hint="eastAsia" w:hAnsi="宋体" w:eastAsia="宋体" w:cs="宋体"/>
                <w:bCs/>
                <w:color w:val="000000"/>
                <w:sz w:val="24"/>
                <w:szCs w:val="24"/>
              </w:rPr>
              <w:t>部</w:t>
            </w:r>
          </w:p>
          <w:p w14:paraId="226A2BE8">
            <w:pPr>
              <w:pStyle w:val="15"/>
              <w:spacing w:line="360" w:lineRule="auto"/>
              <w:jc w:val="center"/>
              <w:rPr>
                <w:rFonts w:hint="eastAsia" w:eastAsia="宋体"/>
                <w:bCs/>
                <w:color w:val="000000"/>
                <w:sz w:val="24"/>
                <w:szCs w:val="24"/>
                <w:lang w:eastAsia="zh-CN"/>
              </w:rPr>
            </w:pPr>
            <w:r>
              <w:rPr>
                <w:rFonts w:hint="eastAsia" w:hAnsi="宋体" w:eastAsia="宋体" w:cs="宋体"/>
                <w:bCs/>
                <w:color w:val="000000"/>
                <w:sz w:val="24"/>
                <w:szCs w:val="24"/>
              </w:rPr>
              <w:t>分</w:t>
            </w:r>
          </w:p>
          <w:p w14:paraId="23477AE4">
            <w:pPr>
              <w:pStyle w:val="15"/>
              <w:spacing w:line="360" w:lineRule="auto"/>
              <w:jc w:val="center"/>
              <w:rPr>
                <w:bCs/>
                <w:color w:val="000000"/>
                <w:sz w:val="24"/>
                <w:szCs w:val="24"/>
              </w:rPr>
            </w:pPr>
          </w:p>
        </w:tc>
        <w:tc>
          <w:tcPr>
            <w:tcW w:w="1697" w:type="dxa"/>
            <w:noWrap w:val="0"/>
            <w:vAlign w:val="center"/>
          </w:tcPr>
          <w:p w14:paraId="7258DF18">
            <w:pPr>
              <w:pStyle w:val="15"/>
              <w:spacing w:line="360" w:lineRule="auto"/>
              <w:rPr>
                <w:rFonts w:ascii="宋体" w:hAnsi="Courier New"/>
                <w:color w:val="000000"/>
                <w:kern w:val="2"/>
                <w:sz w:val="24"/>
                <w:szCs w:val="24"/>
                <w:lang w:val="en-US" w:eastAsia="zh-CN" w:bidi="ar-SA"/>
              </w:rPr>
            </w:pPr>
            <w:r>
              <w:rPr>
                <w:rFonts w:hint="eastAsia" w:hAnsi="宋体" w:eastAsia="宋体" w:cs="宋体"/>
                <w:color w:val="000000"/>
                <w:sz w:val="24"/>
                <w:szCs w:val="24"/>
              </w:rPr>
              <w:t>关键加工设备（</w:t>
            </w:r>
            <w:r>
              <w:rPr>
                <w:color w:val="000000"/>
                <w:sz w:val="24"/>
                <w:szCs w:val="24"/>
              </w:rPr>
              <w:t>0</w:t>
            </w:r>
            <w:r>
              <w:rPr>
                <w:rFonts w:hint="eastAsia"/>
                <w:color w:val="000000"/>
                <w:sz w:val="24"/>
                <w:szCs w:val="24"/>
              </w:rPr>
              <w:t>-</w:t>
            </w:r>
            <w:r>
              <w:rPr>
                <w:rFonts w:hint="eastAsia"/>
                <w:color w:val="000000"/>
                <w:sz w:val="24"/>
                <w:szCs w:val="24"/>
                <w:lang w:val="en-US" w:eastAsia="zh-CN"/>
              </w:rPr>
              <w:t>10</w:t>
            </w:r>
            <w:r>
              <w:rPr>
                <w:rFonts w:hint="eastAsia" w:hAnsi="宋体" w:eastAsia="宋体" w:cs="宋体"/>
                <w:color w:val="000000"/>
                <w:sz w:val="24"/>
                <w:szCs w:val="24"/>
              </w:rPr>
              <w:t>分）</w:t>
            </w:r>
          </w:p>
        </w:tc>
        <w:tc>
          <w:tcPr>
            <w:tcW w:w="6411" w:type="dxa"/>
            <w:noWrap w:val="0"/>
            <w:vAlign w:val="center"/>
          </w:tcPr>
          <w:p w14:paraId="1BADF05C">
            <w:pPr>
              <w:pStyle w:val="15"/>
              <w:spacing w:line="360" w:lineRule="auto"/>
              <w:rPr>
                <w:rFonts w:ascii="宋体" w:hAnsi="Courier New"/>
                <w:color w:val="000000"/>
                <w:kern w:val="2"/>
                <w:sz w:val="24"/>
                <w:szCs w:val="24"/>
                <w:lang w:val="en-US" w:eastAsia="zh-CN" w:bidi="ar-SA"/>
              </w:rPr>
            </w:pPr>
            <w:r>
              <w:rPr>
                <w:rFonts w:hint="eastAsia" w:hAnsi="宋体" w:eastAsia="宋体" w:cs="宋体"/>
                <w:color w:val="000000"/>
                <w:sz w:val="24"/>
                <w:szCs w:val="24"/>
              </w:rPr>
              <w:t>提供设备品牌型号、技术参数等信息，有加工投标产品的设备能力</w:t>
            </w:r>
          </w:p>
        </w:tc>
      </w:tr>
      <w:tr w14:paraId="6A9C6A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7" w:hRule="exact"/>
        </w:trPr>
        <w:tc>
          <w:tcPr>
            <w:tcW w:w="848" w:type="dxa"/>
            <w:noWrap w:val="0"/>
            <w:vAlign w:val="center"/>
          </w:tcPr>
          <w:p w14:paraId="5F62A77F">
            <w:pPr>
              <w:pStyle w:val="15"/>
              <w:spacing w:line="360" w:lineRule="auto"/>
              <w:jc w:val="center"/>
              <w:rPr>
                <w:bCs/>
                <w:color w:val="000000"/>
                <w:sz w:val="24"/>
                <w:szCs w:val="24"/>
              </w:rPr>
            </w:pPr>
            <w:r>
              <w:rPr>
                <w:rFonts w:hint="eastAsia"/>
                <w:bCs/>
                <w:color w:val="000000"/>
                <w:sz w:val="24"/>
                <w:szCs w:val="24"/>
              </w:rPr>
              <w:t>2</w:t>
            </w:r>
          </w:p>
        </w:tc>
        <w:tc>
          <w:tcPr>
            <w:tcW w:w="824" w:type="dxa"/>
            <w:vMerge w:val="continue"/>
            <w:noWrap w:val="0"/>
            <w:vAlign w:val="center"/>
          </w:tcPr>
          <w:p w14:paraId="161EE70D">
            <w:pPr>
              <w:pStyle w:val="15"/>
              <w:spacing w:line="360" w:lineRule="auto"/>
              <w:rPr>
                <w:bCs/>
                <w:color w:val="000000"/>
                <w:sz w:val="24"/>
                <w:szCs w:val="24"/>
              </w:rPr>
            </w:pPr>
          </w:p>
        </w:tc>
        <w:tc>
          <w:tcPr>
            <w:tcW w:w="1697" w:type="dxa"/>
            <w:noWrap w:val="0"/>
            <w:vAlign w:val="center"/>
          </w:tcPr>
          <w:p w14:paraId="7F65657E">
            <w:pPr>
              <w:pStyle w:val="15"/>
              <w:spacing w:line="360" w:lineRule="auto"/>
              <w:rPr>
                <w:rFonts w:ascii="宋体" w:hAnsi="Courier New"/>
                <w:color w:val="000000"/>
                <w:kern w:val="2"/>
                <w:sz w:val="24"/>
                <w:szCs w:val="24"/>
                <w:lang w:val="en-US" w:eastAsia="zh-CN" w:bidi="ar-SA"/>
              </w:rPr>
            </w:pPr>
            <w:r>
              <w:rPr>
                <w:rFonts w:hint="eastAsia" w:hAnsi="宋体" w:eastAsia="宋体" w:cs="宋体"/>
                <w:color w:val="000000"/>
                <w:sz w:val="24"/>
                <w:szCs w:val="24"/>
              </w:rPr>
              <w:t>检测设备</w:t>
            </w:r>
            <w:r>
              <w:rPr>
                <w:rFonts w:hint="eastAsia"/>
                <w:color w:val="000000"/>
                <w:sz w:val="24"/>
                <w:szCs w:val="24"/>
              </w:rPr>
              <w:t xml:space="preserve">   </w:t>
            </w:r>
            <w:r>
              <w:rPr>
                <w:rFonts w:hint="eastAsia" w:hAnsi="宋体" w:eastAsia="宋体" w:cs="宋体"/>
                <w:color w:val="000000"/>
                <w:sz w:val="24"/>
                <w:szCs w:val="24"/>
              </w:rPr>
              <w:t>（</w:t>
            </w:r>
            <w:r>
              <w:rPr>
                <w:color w:val="000000"/>
                <w:sz w:val="24"/>
                <w:szCs w:val="24"/>
              </w:rPr>
              <w:t>0</w:t>
            </w:r>
            <w:r>
              <w:rPr>
                <w:rFonts w:hint="eastAsia"/>
                <w:color w:val="000000"/>
                <w:sz w:val="24"/>
                <w:szCs w:val="24"/>
              </w:rPr>
              <w:t>-</w:t>
            </w:r>
            <w:r>
              <w:rPr>
                <w:rFonts w:hint="eastAsia"/>
                <w:color w:val="000000"/>
                <w:sz w:val="24"/>
                <w:szCs w:val="24"/>
                <w:lang w:val="en-US" w:eastAsia="zh-CN"/>
              </w:rPr>
              <w:t>10</w:t>
            </w:r>
            <w:r>
              <w:rPr>
                <w:rFonts w:hint="eastAsia" w:hAnsi="宋体" w:eastAsia="宋体" w:cs="宋体"/>
                <w:color w:val="000000"/>
                <w:sz w:val="24"/>
                <w:szCs w:val="24"/>
              </w:rPr>
              <w:t>分）</w:t>
            </w:r>
          </w:p>
        </w:tc>
        <w:tc>
          <w:tcPr>
            <w:tcW w:w="6411" w:type="dxa"/>
            <w:noWrap w:val="0"/>
            <w:vAlign w:val="center"/>
          </w:tcPr>
          <w:p w14:paraId="0DDC95F4">
            <w:pPr>
              <w:pStyle w:val="15"/>
              <w:spacing w:line="360" w:lineRule="auto"/>
              <w:rPr>
                <w:rFonts w:ascii="宋体" w:hAnsi="Courier New"/>
                <w:color w:val="000000"/>
                <w:kern w:val="2"/>
                <w:sz w:val="24"/>
                <w:szCs w:val="24"/>
                <w:lang w:val="en-US" w:eastAsia="zh-CN" w:bidi="ar-SA"/>
              </w:rPr>
            </w:pPr>
            <w:r>
              <w:rPr>
                <w:rFonts w:hint="eastAsia" w:hAnsi="宋体" w:eastAsia="宋体" w:cs="宋体"/>
                <w:color w:val="000000"/>
                <w:sz w:val="24"/>
                <w:szCs w:val="24"/>
              </w:rPr>
              <w:t>提供设备品牌型号、技术参数等信息，有检测投标产品的能力</w:t>
            </w:r>
          </w:p>
        </w:tc>
      </w:tr>
      <w:tr w14:paraId="356AA4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12" w:hRule="exact"/>
        </w:trPr>
        <w:tc>
          <w:tcPr>
            <w:tcW w:w="848" w:type="dxa"/>
            <w:noWrap w:val="0"/>
            <w:vAlign w:val="center"/>
          </w:tcPr>
          <w:p w14:paraId="5B1C418A">
            <w:pPr>
              <w:pStyle w:val="15"/>
              <w:spacing w:line="360" w:lineRule="auto"/>
              <w:jc w:val="center"/>
              <w:rPr>
                <w:bCs/>
                <w:color w:val="000000"/>
                <w:sz w:val="24"/>
                <w:szCs w:val="24"/>
              </w:rPr>
            </w:pPr>
            <w:r>
              <w:rPr>
                <w:bCs/>
                <w:color w:val="000000"/>
                <w:sz w:val="24"/>
                <w:szCs w:val="24"/>
              </w:rPr>
              <w:t>3</w:t>
            </w:r>
          </w:p>
        </w:tc>
        <w:tc>
          <w:tcPr>
            <w:tcW w:w="824" w:type="dxa"/>
            <w:vMerge w:val="continue"/>
            <w:noWrap w:val="0"/>
            <w:vAlign w:val="center"/>
          </w:tcPr>
          <w:p w14:paraId="7423193B">
            <w:pPr>
              <w:pStyle w:val="15"/>
              <w:spacing w:line="360" w:lineRule="auto"/>
              <w:rPr>
                <w:bCs/>
                <w:color w:val="000000"/>
                <w:sz w:val="24"/>
                <w:szCs w:val="24"/>
              </w:rPr>
            </w:pPr>
          </w:p>
        </w:tc>
        <w:tc>
          <w:tcPr>
            <w:tcW w:w="1697" w:type="dxa"/>
            <w:noWrap w:val="0"/>
            <w:vAlign w:val="center"/>
          </w:tcPr>
          <w:p w14:paraId="32BA4EFC">
            <w:pPr>
              <w:pStyle w:val="15"/>
              <w:spacing w:line="360" w:lineRule="auto"/>
              <w:rPr>
                <w:rFonts w:ascii="宋体" w:hAnsi="Courier New"/>
                <w:color w:val="000000"/>
                <w:kern w:val="2"/>
                <w:sz w:val="24"/>
                <w:szCs w:val="24"/>
                <w:lang w:val="en-US" w:eastAsia="zh-CN" w:bidi="ar-SA"/>
              </w:rPr>
            </w:pPr>
            <w:r>
              <w:rPr>
                <w:rFonts w:hint="eastAsia" w:hAnsi="宋体" w:eastAsia="宋体" w:cs="宋体"/>
                <w:color w:val="000000"/>
                <w:szCs w:val="21"/>
              </w:rPr>
              <w:t>工装模具设计能力及制作工艺水平</w:t>
            </w:r>
            <w:r>
              <w:rPr>
                <w:rFonts w:hint="eastAsia"/>
                <w:color w:val="000000"/>
                <w:szCs w:val="21"/>
              </w:rPr>
              <w:t xml:space="preserve"> </w:t>
            </w:r>
            <w:r>
              <w:rPr>
                <w:rFonts w:hint="eastAsia" w:hAnsi="宋体" w:eastAsia="宋体" w:cs="宋体"/>
                <w:color w:val="000000"/>
                <w:szCs w:val="21"/>
              </w:rPr>
              <w:t>（</w:t>
            </w:r>
            <w:r>
              <w:rPr>
                <w:color w:val="000000"/>
                <w:szCs w:val="21"/>
              </w:rPr>
              <w:t>0</w:t>
            </w:r>
            <w:r>
              <w:rPr>
                <w:rFonts w:hint="eastAsia"/>
                <w:color w:val="000000"/>
                <w:szCs w:val="21"/>
              </w:rPr>
              <w:t>-</w:t>
            </w:r>
            <w:r>
              <w:rPr>
                <w:rFonts w:hint="eastAsia"/>
                <w:color w:val="000000"/>
                <w:szCs w:val="21"/>
                <w:lang w:val="en-US" w:eastAsia="zh-CN"/>
              </w:rPr>
              <w:t>10</w:t>
            </w:r>
            <w:r>
              <w:rPr>
                <w:rFonts w:hint="eastAsia" w:hAnsi="宋体" w:eastAsia="宋体" w:cs="宋体"/>
                <w:color w:val="000000"/>
                <w:szCs w:val="21"/>
              </w:rPr>
              <w:t>分）</w:t>
            </w:r>
          </w:p>
        </w:tc>
        <w:tc>
          <w:tcPr>
            <w:tcW w:w="6411" w:type="dxa"/>
            <w:noWrap w:val="0"/>
            <w:vAlign w:val="center"/>
          </w:tcPr>
          <w:p w14:paraId="6E88AE2A">
            <w:pPr>
              <w:pStyle w:val="15"/>
              <w:spacing w:line="360" w:lineRule="auto"/>
              <w:rPr>
                <w:rFonts w:ascii="宋体" w:hAnsi="Courier New"/>
                <w:color w:val="000000"/>
                <w:kern w:val="2"/>
                <w:sz w:val="24"/>
                <w:szCs w:val="24"/>
                <w:lang w:val="en-US" w:eastAsia="zh-CN" w:bidi="ar-SA"/>
              </w:rPr>
            </w:pPr>
            <w:r>
              <w:rPr>
                <w:rFonts w:hint="eastAsia" w:hAnsi="宋体" w:eastAsia="宋体" w:cs="宋体"/>
                <w:color w:val="000000"/>
                <w:sz w:val="24"/>
                <w:szCs w:val="24"/>
              </w:rPr>
              <w:t>提供中高级职称人员证书复印件及社保参保证明；制作工艺描述等</w:t>
            </w:r>
          </w:p>
        </w:tc>
      </w:tr>
      <w:tr w14:paraId="528B8A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3" w:hRule="exact"/>
        </w:trPr>
        <w:tc>
          <w:tcPr>
            <w:tcW w:w="848" w:type="dxa"/>
            <w:noWrap w:val="0"/>
            <w:vAlign w:val="center"/>
          </w:tcPr>
          <w:p w14:paraId="394397F2">
            <w:pPr>
              <w:pStyle w:val="15"/>
              <w:spacing w:line="360" w:lineRule="auto"/>
              <w:jc w:val="center"/>
              <w:rPr>
                <w:bCs/>
                <w:color w:val="000000"/>
                <w:sz w:val="24"/>
                <w:szCs w:val="24"/>
              </w:rPr>
            </w:pPr>
            <w:r>
              <w:rPr>
                <w:bCs/>
                <w:color w:val="000000"/>
                <w:sz w:val="24"/>
                <w:szCs w:val="24"/>
              </w:rPr>
              <w:t>4</w:t>
            </w:r>
          </w:p>
        </w:tc>
        <w:tc>
          <w:tcPr>
            <w:tcW w:w="824" w:type="dxa"/>
            <w:vMerge w:val="continue"/>
            <w:noWrap w:val="0"/>
            <w:vAlign w:val="center"/>
          </w:tcPr>
          <w:p w14:paraId="46833D8A">
            <w:pPr>
              <w:pStyle w:val="15"/>
              <w:spacing w:line="360" w:lineRule="auto"/>
              <w:rPr>
                <w:bCs/>
                <w:color w:val="000000"/>
                <w:sz w:val="24"/>
                <w:szCs w:val="24"/>
              </w:rPr>
            </w:pPr>
          </w:p>
        </w:tc>
        <w:tc>
          <w:tcPr>
            <w:tcW w:w="1697" w:type="dxa"/>
            <w:noWrap w:val="0"/>
            <w:vAlign w:val="center"/>
          </w:tcPr>
          <w:p w14:paraId="25EA6F84">
            <w:pPr>
              <w:pStyle w:val="15"/>
              <w:spacing w:line="360" w:lineRule="auto"/>
              <w:rPr>
                <w:rFonts w:ascii="宋体" w:hAnsi="Courier New"/>
                <w:color w:val="000000"/>
                <w:kern w:val="2"/>
                <w:sz w:val="24"/>
                <w:szCs w:val="24"/>
                <w:lang w:val="en-US" w:eastAsia="zh-CN" w:bidi="ar-SA"/>
              </w:rPr>
            </w:pPr>
            <w:r>
              <w:rPr>
                <w:rFonts w:hint="eastAsia" w:hAnsi="宋体" w:eastAsia="宋体" w:cs="宋体"/>
                <w:color w:val="000000"/>
                <w:sz w:val="24"/>
                <w:szCs w:val="24"/>
              </w:rPr>
              <w:t>计算机模拟能力：（</w:t>
            </w:r>
            <w:r>
              <w:rPr>
                <w:rFonts w:hint="eastAsia"/>
                <w:color w:val="000000"/>
                <w:sz w:val="24"/>
                <w:szCs w:val="24"/>
              </w:rPr>
              <w:t>0-</w:t>
            </w:r>
            <w:r>
              <w:rPr>
                <w:rFonts w:hint="eastAsia"/>
                <w:color w:val="000000"/>
                <w:sz w:val="24"/>
                <w:szCs w:val="24"/>
                <w:lang w:val="en-US" w:eastAsia="zh-CN"/>
              </w:rPr>
              <w:t>10</w:t>
            </w:r>
            <w:r>
              <w:rPr>
                <w:rFonts w:hint="eastAsia" w:hAnsi="宋体" w:eastAsia="宋体" w:cs="宋体"/>
                <w:color w:val="000000"/>
                <w:sz w:val="24"/>
                <w:szCs w:val="24"/>
              </w:rPr>
              <w:t>分）</w:t>
            </w:r>
          </w:p>
        </w:tc>
        <w:tc>
          <w:tcPr>
            <w:tcW w:w="6411" w:type="dxa"/>
            <w:noWrap w:val="0"/>
            <w:vAlign w:val="center"/>
          </w:tcPr>
          <w:p w14:paraId="239C48A5">
            <w:pPr>
              <w:pStyle w:val="15"/>
              <w:spacing w:line="360" w:lineRule="auto"/>
              <w:rPr>
                <w:rFonts w:ascii="宋体" w:hAnsi="Courier New"/>
                <w:color w:val="000000"/>
                <w:kern w:val="2"/>
                <w:sz w:val="24"/>
                <w:szCs w:val="24"/>
                <w:lang w:val="en-US" w:eastAsia="zh-CN" w:bidi="ar-SA"/>
              </w:rPr>
            </w:pPr>
            <w:r>
              <w:rPr>
                <w:rFonts w:hint="eastAsia" w:hAnsi="宋体" w:eastAsia="宋体" w:cs="宋体"/>
                <w:color w:val="000000"/>
                <w:sz w:val="24"/>
                <w:szCs w:val="24"/>
              </w:rPr>
              <w:t>有三维设计软件</w:t>
            </w:r>
          </w:p>
        </w:tc>
      </w:tr>
      <w:tr w14:paraId="1E0121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67" w:hRule="exact"/>
        </w:trPr>
        <w:tc>
          <w:tcPr>
            <w:tcW w:w="848" w:type="dxa"/>
            <w:noWrap w:val="0"/>
            <w:vAlign w:val="center"/>
          </w:tcPr>
          <w:p w14:paraId="083EC5C5">
            <w:pPr>
              <w:pStyle w:val="15"/>
              <w:spacing w:line="360" w:lineRule="auto"/>
              <w:jc w:val="center"/>
              <w:rPr>
                <w:bCs/>
                <w:color w:val="000000"/>
                <w:sz w:val="24"/>
                <w:szCs w:val="24"/>
              </w:rPr>
            </w:pPr>
            <w:r>
              <w:rPr>
                <w:bCs/>
                <w:color w:val="000000"/>
                <w:sz w:val="24"/>
                <w:szCs w:val="24"/>
              </w:rPr>
              <w:t>5</w:t>
            </w:r>
          </w:p>
        </w:tc>
        <w:tc>
          <w:tcPr>
            <w:tcW w:w="824" w:type="dxa"/>
            <w:vMerge w:val="continue"/>
            <w:noWrap w:val="0"/>
            <w:vAlign w:val="center"/>
          </w:tcPr>
          <w:p w14:paraId="30069C11">
            <w:pPr>
              <w:pStyle w:val="15"/>
              <w:spacing w:line="360" w:lineRule="auto"/>
              <w:rPr>
                <w:bCs/>
                <w:color w:val="000000"/>
                <w:sz w:val="24"/>
                <w:szCs w:val="24"/>
              </w:rPr>
            </w:pPr>
          </w:p>
        </w:tc>
        <w:tc>
          <w:tcPr>
            <w:tcW w:w="1697" w:type="dxa"/>
            <w:noWrap w:val="0"/>
            <w:vAlign w:val="center"/>
          </w:tcPr>
          <w:p w14:paraId="16350E42">
            <w:pPr>
              <w:pStyle w:val="15"/>
              <w:spacing w:line="360" w:lineRule="auto"/>
              <w:rPr>
                <w:rFonts w:ascii="宋体" w:hAnsi="Courier New"/>
                <w:color w:val="000000"/>
                <w:kern w:val="2"/>
                <w:sz w:val="24"/>
                <w:szCs w:val="24"/>
                <w:lang w:val="en-US" w:eastAsia="zh-CN" w:bidi="ar-SA"/>
              </w:rPr>
            </w:pPr>
            <w:r>
              <w:rPr>
                <w:rFonts w:hint="eastAsia" w:hAnsi="宋体" w:eastAsia="宋体" w:cs="宋体"/>
                <w:color w:val="000000"/>
                <w:sz w:val="24"/>
                <w:szCs w:val="24"/>
              </w:rPr>
              <w:t>类似业绩（</w:t>
            </w:r>
            <w:r>
              <w:rPr>
                <w:rFonts w:hint="eastAsia"/>
                <w:color w:val="000000"/>
                <w:sz w:val="24"/>
                <w:szCs w:val="24"/>
              </w:rPr>
              <w:t>0-</w:t>
            </w:r>
            <w:r>
              <w:rPr>
                <w:rFonts w:hint="eastAsia"/>
                <w:color w:val="000000"/>
                <w:sz w:val="24"/>
                <w:szCs w:val="24"/>
                <w:lang w:val="en-US" w:eastAsia="zh-CN"/>
              </w:rPr>
              <w:t>15</w:t>
            </w:r>
            <w:r>
              <w:rPr>
                <w:rFonts w:hint="eastAsia" w:hAnsi="宋体" w:eastAsia="宋体" w:cs="宋体"/>
                <w:color w:val="000000"/>
                <w:sz w:val="24"/>
                <w:szCs w:val="24"/>
              </w:rPr>
              <w:t>分）</w:t>
            </w:r>
          </w:p>
        </w:tc>
        <w:tc>
          <w:tcPr>
            <w:tcW w:w="6411" w:type="dxa"/>
            <w:noWrap w:val="0"/>
            <w:vAlign w:val="center"/>
          </w:tcPr>
          <w:p w14:paraId="0C96FCEF">
            <w:pPr>
              <w:pStyle w:val="15"/>
              <w:spacing w:line="360" w:lineRule="exact"/>
              <w:rPr>
                <w:rFonts w:hint="eastAsia" w:ascii="宋体" w:hAnsi="Courier New" w:eastAsia="宋体"/>
                <w:color w:val="000000"/>
                <w:kern w:val="2"/>
                <w:sz w:val="24"/>
                <w:szCs w:val="24"/>
                <w:lang w:val="en-US" w:eastAsia="zh-CN" w:bidi="ar-SA"/>
              </w:rPr>
            </w:pPr>
            <w:r>
              <w:rPr>
                <w:rFonts w:hint="eastAsia"/>
                <w:color w:val="000000"/>
                <w:sz w:val="24"/>
                <w:szCs w:val="24"/>
              </w:rPr>
              <w:t>与招标产品、生产设备、生产工艺类似业绩，业绩较好得</w:t>
            </w:r>
            <w:r>
              <w:rPr>
                <w:rFonts w:hint="eastAsia"/>
                <w:color w:val="000000"/>
                <w:sz w:val="24"/>
                <w:szCs w:val="24"/>
                <w:lang w:val="en-US" w:eastAsia="zh-CN"/>
              </w:rPr>
              <w:t>11</w:t>
            </w:r>
            <w:r>
              <w:rPr>
                <w:rFonts w:hint="eastAsia"/>
                <w:color w:val="000000"/>
                <w:sz w:val="24"/>
                <w:szCs w:val="24"/>
              </w:rPr>
              <w:t>-</w:t>
            </w:r>
            <w:r>
              <w:rPr>
                <w:rFonts w:hint="eastAsia"/>
                <w:color w:val="000000"/>
                <w:sz w:val="24"/>
                <w:szCs w:val="24"/>
                <w:lang w:val="en-US" w:eastAsia="zh-CN"/>
              </w:rPr>
              <w:t>15</w:t>
            </w:r>
            <w:r>
              <w:rPr>
                <w:rFonts w:hint="eastAsia" w:hAnsi="宋体" w:eastAsia="宋体" w:cs="宋体"/>
                <w:color w:val="000000"/>
                <w:sz w:val="24"/>
                <w:szCs w:val="24"/>
              </w:rPr>
              <w:t>分，业绩一般得</w:t>
            </w:r>
            <w:r>
              <w:rPr>
                <w:rFonts w:hint="eastAsia" w:hAnsi="宋体" w:eastAsia="宋体" w:cs="宋体"/>
                <w:color w:val="000000"/>
                <w:sz w:val="24"/>
                <w:szCs w:val="24"/>
                <w:lang w:val="en-US" w:eastAsia="zh-CN"/>
              </w:rPr>
              <w:t>10</w:t>
            </w:r>
            <w:r>
              <w:rPr>
                <w:rFonts w:hint="eastAsia" w:hAnsi="宋体" w:eastAsia="宋体" w:cs="宋体"/>
                <w:color w:val="000000"/>
                <w:sz w:val="24"/>
                <w:szCs w:val="24"/>
              </w:rPr>
              <w:t>分；与招标产品、生产设备、生产工艺部分类似业绩，得</w:t>
            </w:r>
            <w:r>
              <w:rPr>
                <w:rFonts w:hint="eastAsia" w:hAnsi="宋体" w:eastAsia="宋体" w:cs="宋体"/>
                <w:color w:val="000000"/>
                <w:sz w:val="24"/>
                <w:szCs w:val="24"/>
                <w:lang w:val="en-US" w:eastAsia="zh-CN"/>
              </w:rPr>
              <w:t>2</w:t>
            </w:r>
            <w:r>
              <w:rPr>
                <w:rFonts w:hint="eastAsia"/>
                <w:color w:val="000000"/>
                <w:sz w:val="24"/>
                <w:szCs w:val="24"/>
              </w:rPr>
              <w:t>-</w:t>
            </w:r>
            <w:r>
              <w:rPr>
                <w:rFonts w:hint="eastAsia"/>
                <w:color w:val="000000"/>
                <w:sz w:val="24"/>
                <w:szCs w:val="24"/>
                <w:lang w:val="en-US" w:eastAsia="zh-CN"/>
              </w:rPr>
              <w:t>9</w:t>
            </w:r>
            <w:r>
              <w:rPr>
                <w:rFonts w:hint="eastAsia" w:hAnsi="宋体" w:eastAsia="宋体" w:cs="宋体"/>
                <w:color w:val="000000"/>
                <w:sz w:val="24"/>
                <w:szCs w:val="24"/>
              </w:rPr>
              <w:t>分；无类似业绩</w:t>
            </w:r>
            <w:r>
              <w:rPr>
                <w:rFonts w:hint="eastAsia"/>
                <w:color w:val="000000"/>
                <w:sz w:val="24"/>
                <w:szCs w:val="24"/>
              </w:rPr>
              <w:t>0</w:t>
            </w:r>
            <w:r>
              <w:rPr>
                <w:rFonts w:hint="eastAsia" w:hAnsi="宋体" w:eastAsia="宋体" w:cs="宋体"/>
                <w:color w:val="000000"/>
                <w:sz w:val="24"/>
                <w:szCs w:val="24"/>
              </w:rPr>
              <w:t>分</w:t>
            </w:r>
            <w:r>
              <w:rPr>
                <w:rFonts w:hint="eastAsia" w:hAnsi="宋体" w:eastAsia="宋体" w:cs="宋体"/>
                <w:color w:val="000000"/>
                <w:sz w:val="24"/>
                <w:szCs w:val="24"/>
                <w:lang w:eastAsia="zh-CN"/>
              </w:rPr>
              <w:t>。</w:t>
            </w:r>
          </w:p>
        </w:tc>
      </w:tr>
      <w:tr w14:paraId="075724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70" w:hRule="exact"/>
        </w:trPr>
        <w:tc>
          <w:tcPr>
            <w:tcW w:w="848" w:type="dxa"/>
            <w:noWrap w:val="0"/>
            <w:vAlign w:val="center"/>
          </w:tcPr>
          <w:p w14:paraId="6755A91E">
            <w:pPr>
              <w:pStyle w:val="15"/>
              <w:spacing w:line="360" w:lineRule="auto"/>
              <w:jc w:val="center"/>
              <w:rPr>
                <w:bCs/>
                <w:color w:val="000000"/>
                <w:sz w:val="24"/>
                <w:szCs w:val="24"/>
              </w:rPr>
            </w:pPr>
            <w:r>
              <w:rPr>
                <w:bCs/>
                <w:color w:val="000000"/>
                <w:sz w:val="24"/>
                <w:szCs w:val="24"/>
              </w:rPr>
              <w:t>6</w:t>
            </w:r>
          </w:p>
        </w:tc>
        <w:tc>
          <w:tcPr>
            <w:tcW w:w="824" w:type="dxa"/>
            <w:vMerge w:val="continue"/>
            <w:noWrap w:val="0"/>
            <w:vAlign w:val="center"/>
          </w:tcPr>
          <w:p w14:paraId="694E6212">
            <w:pPr>
              <w:pStyle w:val="15"/>
              <w:spacing w:line="360" w:lineRule="auto"/>
              <w:rPr>
                <w:bCs/>
                <w:color w:val="000000"/>
                <w:sz w:val="24"/>
                <w:szCs w:val="24"/>
              </w:rPr>
            </w:pPr>
          </w:p>
        </w:tc>
        <w:tc>
          <w:tcPr>
            <w:tcW w:w="1697" w:type="dxa"/>
            <w:noWrap w:val="0"/>
            <w:vAlign w:val="center"/>
          </w:tcPr>
          <w:p w14:paraId="3F93A9B6">
            <w:pPr>
              <w:pStyle w:val="15"/>
              <w:spacing w:line="360" w:lineRule="auto"/>
              <w:rPr>
                <w:rFonts w:ascii="宋体" w:hAnsi="Courier New"/>
                <w:color w:val="000000"/>
                <w:kern w:val="2"/>
                <w:sz w:val="24"/>
                <w:szCs w:val="24"/>
                <w:lang w:val="en-US" w:eastAsia="zh-CN" w:bidi="ar-SA"/>
              </w:rPr>
            </w:pPr>
            <w:r>
              <w:rPr>
                <w:rFonts w:hint="eastAsia" w:hAnsi="宋体" w:eastAsia="宋体" w:cs="宋体"/>
                <w:color w:val="000000"/>
                <w:sz w:val="24"/>
                <w:szCs w:val="24"/>
              </w:rPr>
              <w:t>工艺方案整体描述（</w:t>
            </w:r>
            <w:r>
              <w:rPr>
                <w:rFonts w:hint="eastAsia"/>
                <w:color w:val="000000"/>
                <w:sz w:val="24"/>
                <w:szCs w:val="24"/>
              </w:rPr>
              <w:t>0-</w:t>
            </w:r>
            <w:r>
              <w:rPr>
                <w:rFonts w:hint="eastAsia"/>
                <w:color w:val="000000"/>
                <w:sz w:val="24"/>
                <w:szCs w:val="24"/>
                <w:lang w:val="en-US" w:eastAsia="zh-CN"/>
              </w:rPr>
              <w:t>25</w:t>
            </w:r>
            <w:r>
              <w:rPr>
                <w:rFonts w:hint="eastAsia" w:hAnsi="宋体" w:eastAsia="宋体" w:cs="宋体"/>
                <w:color w:val="000000"/>
                <w:sz w:val="24"/>
                <w:szCs w:val="24"/>
              </w:rPr>
              <w:t>分）</w:t>
            </w:r>
          </w:p>
        </w:tc>
        <w:tc>
          <w:tcPr>
            <w:tcW w:w="6411" w:type="dxa"/>
            <w:noWrap w:val="0"/>
            <w:vAlign w:val="center"/>
          </w:tcPr>
          <w:p w14:paraId="1C35C6F1">
            <w:pPr>
              <w:pStyle w:val="15"/>
              <w:spacing w:line="360" w:lineRule="auto"/>
              <w:rPr>
                <w:rFonts w:hint="eastAsia" w:ascii="宋体" w:hAnsi="Courier New" w:eastAsia="宋体"/>
                <w:color w:val="000000"/>
                <w:kern w:val="2"/>
                <w:sz w:val="24"/>
                <w:szCs w:val="24"/>
                <w:lang w:val="en-US" w:eastAsia="zh-CN" w:bidi="ar-SA"/>
              </w:rPr>
            </w:pPr>
            <w:r>
              <w:rPr>
                <w:rFonts w:hint="eastAsia" w:hAnsi="宋体" w:eastAsia="宋体" w:cs="宋体"/>
                <w:color w:val="000000"/>
                <w:sz w:val="24"/>
                <w:szCs w:val="24"/>
              </w:rPr>
              <w:t>根据投标书总体描述情况或现场答疑情况由专家自主综合评价</w:t>
            </w:r>
            <w:r>
              <w:rPr>
                <w:rFonts w:hint="eastAsia" w:hAnsi="宋体" w:eastAsia="宋体" w:cs="宋体"/>
                <w:color w:val="000000"/>
                <w:sz w:val="24"/>
                <w:szCs w:val="24"/>
                <w:lang w:eastAsia="zh-CN"/>
              </w:rPr>
              <w:t>。</w:t>
            </w:r>
          </w:p>
        </w:tc>
      </w:tr>
      <w:tr w14:paraId="41DFEA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7" w:hRule="exact"/>
        </w:trPr>
        <w:tc>
          <w:tcPr>
            <w:tcW w:w="848" w:type="dxa"/>
            <w:noWrap w:val="0"/>
            <w:vAlign w:val="center"/>
          </w:tcPr>
          <w:p w14:paraId="79A64240">
            <w:pPr>
              <w:pStyle w:val="15"/>
              <w:spacing w:line="360" w:lineRule="auto"/>
              <w:jc w:val="center"/>
              <w:rPr>
                <w:bCs/>
                <w:color w:val="000000"/>
                <w:sz w:val="24"/>
                <w:szCs w:val="24"/>
              </w:rPr>
            </w:pPr>
            <w:r>
              <w:rPr>
                <w:bCs/>
                <w:color w:val="000000"/>
                <w:sz w:val="24"/>
                <w:szCs w:val="24"/>
              </w:rPr>
              <w:t>7</w:t>
            </w:r>
          </w:p>
        </w:tc>
        <w:tc>
          <w:tcPr>
            <w:tcW w:w="824" w:type="dxa"/>
            <w:vMerge w:val="continue"/>
            <w:noWrap w:val="0"/>
            <w:vAlign w:val="center"/>
          </w:tcPr>
          <w:p w14:paraId="7402E16E">
            <w:pPr>
              <w:pStyle w:val="15"/>
              <w:spacing w:line="360" w:lineRule="auto"/>
              <w:rPr>
                <w:bCs/>
                <w:color w:val="000000"/>
                <w:sz w:val="24"/>
                <w:szCs w:val="24"/>
              </w:rPr>
            </w:pPr>
          </w:p>
        </w:tc>
        <w:tc>
          <w:tcPr>
            <w:tcW w:w="1697" w:type="dxa"/>
            <w:noWrap w:val="0"/>
            <w:vAlign w:val="center"/>
          </w:tcPr>
          <w:p w14:paraId="26DB9351">
            <w:pPr>
              <w:pStyle w:val="15"/>
              <w:spacing w:line="360" w:lineRule="auto"/>
              <w:rPr>
                <w:color w:val="000000"/>
                <w:sz w:val="24"/>
                <w:szCs w:val="24"/>
              </w:rPr>
            </w:pPr>
            <w:r>
              <w:rPr>
                <w:rFonts w:hint="eastAsia" w:hAnsi="宋体" w:eastAsia="宋体" w:cs="宋体"/>
                <w:color w:val="000000"/>
                <w:sz w:val="24"/>
                <w:szCs w:val="24"/>
              </w:rPr>
              <w:t>供货周期</w:t>
            </w:r>
          </w:p>
          <w:p w14:paraId="237DF73A">
            <w:pPr>
              <w:pStyle w:val="15"/>
              <w:spacing w:line="360" w:lineRule="auto"/>
              <w:rPr>
                <w:rFonts w:ascii="宋体" w:hAnsi="Courier New"/>
                <w:color w:val="000000"/>
                <w:kern w:val="2"/>
                <w:sz w:val="24"/>
                <w:szCs w:val="24"/>
                <w:lang w:val="en-US" w:eastAsia="zh-CN" w:bidi="ar-SA"/>
              </w:rPr>
            </w:pPr>
            <w:r>
              <w:rPr>
                <w:rFonts w:hint="eastAsia" w:hAnsi="宋体" w:eastAsia="宋体" w:cs="宋体"/>
                <w:color w:val="000000"/>
                <w:sz w:val="24"/>
                <w:szCs w:val="24"/>
              </w:rPr>
              <w:t>（</w:t>
            </w:r>
            <w:r>
              <w:rPr>
                <w:rFonts w:hint="eastAsia"/>
                <w:color w:val="000000"/>
                <w:sz w:val="24"/>
                <w:szCs w:val="24"/>
              </w:rPr>
              <w:t>0-</w:t>
            </w:r>
            <w:r>
              <w:rPr>
                <w:rFonts w:hint="eastAsia"/>
                <w:color w:val="000000"/>
                <w:sz w:val="24"/>
                <w:szCs w:val="24"/>
                <w:lang w:val="en-US" w:eastAsia="zh-CN"/>
              </w:rPr>
              <w:t>10</w:t>
            </w:r>
            <w:r>
              <w:rPr>
                <w:rFonts w:hint="eastAsia" w:hAnsi="宋体" w:eastAsia="宋体" w:cs="宋体"/>
                <w:color w:val="000000"/>
                <w:sz w:val="24"/>
                <w:szCs w:val="24"/>
              </w:rPr>
              <w:t>分）</w:t>
            </w:r>
          </w:p>
        </w:tc>
        <w:tc>
          <w:tcPr>
            <w:tcW w:w="6411" w:type="dxa"/>
            <w:noWrap w:val="0"/>
            <w:vAlign w:val="center"/>
          </w:tcPr>
          <w:p w14:paraId="0BD1C69C">
            <w:pPr>
              <w:pStyle w:val="15"/>
              <w:spacing w:line="360" w:lineRule="auto"/>
              <w:rPr>
                <w:rFonts w:hint="eastAsia" w:ascii="宋体" w:hAnsi="Courier New" w:eastAsia="等线"/>
                <w:color w:val="000000"/>
                <w:kern w:val="2"/>
                <w:sz w:val="24"/>
                <w:szCs w:val="24"/>
                <w:lang w:val="en-US" w:eastAsia="zh-CN" w:bidi="ar-SA"/>
              </w:rPr>
            </w:pPr>
            <w:r>
              <w:rPr>
                <w:rFonts w:hint="eastAsia" w:hAnsi="宋体" w:eastAsia="宋体" w:cs="宋体"/>
                <w:color w:val="000000"/>
                <w:sz w:val="24"/>
                <w:szCs w:val="24"/>
              </w:rPr>
              <w:t>优于招标文件要求得</w:t>
            </w:r>
            <w:r>
              <w:rPr>
                <w:rFonts w:hint="eastAsia" w:hAnsi="宋体" w:eastAsia="宋体" w:cs="宋体"/>
                <w:color w:val="000000"/>
                <w:sz w:val="24"/>
                <w:szCs w:val="24"/>
                <w:lang w:val="en-US" w:eastAsia="zh-CN"/>
              </w:rPr>
              <w:t>6</w:t>
            </w:r>
            <w:r>
              <w:rPr>
                <w:rFonts w:hint="eastAsia"/>
                <w:color w:val="000000"/>
                <w:sz w:val="24"/>
                <w:szCs w:val="24"/>
              </w:rPr>
              <w:t>-</w:t>
            </w:r>
            <w:r>
              <w:rPr>
                <w:rFonts w:hint="eastAsia"/>
                <w:color w:val="000000"/>
                <w:sz w:val="24"/>
                <w:szCs w:val="24"/>
                <w:lang w:val="en-US" w:eastAsia="zh-CN"/>
              </w:rPr>
              <w:t>10</w:t>
            </w:r>
            <w:r>
              <w:rPr>
                <w:rFonts w:hint="eastAsia" w:hAnsi="宋体" w:eastAsia="宋体" w:cs="宋体"/>
                <w:color w:val="000000"/>
                <w:sz w:val="24"/>
                <w:szCs w:val="24"/>
              </w:rPr>
              <w:t>分</w:t>
            </w:r>
            <w:r>
              <w:rPr>
                <w:rFonts w:hint="eastAsia"/>
                <w:color w:val="000000"/>
                <w:sz w:val="24"/>
                <w:szCs w:val="24"/>
              </w:rPr>
              <w:t xml:space="preserve"> </w:t>
            </w:r>
            <w:r>
              <w:rPr>
                <w:rFonts w:hint="eastAsia" w:hAnsi="宋体" w:eastAsia="宋体" w:cs="宋体"/>
                <w:color w:val="000000"/>
                <w:sz w:val="24"/>
                <w:szCs w:val="24"/>
              </w:rPr>
              <w:t>；满足招标文件要求得</w:t>
            </w:r>
            <w:r>
              <w:rPr>
                <w:rFonts w:hint="eastAsia" w:hAnsi="宋体" w:eastAsia="宋体" w:cs="宋体"/>
                <w:color w:val="000000"/>
                <w:sz w:val="24"/>
                <w:szCs w:val="24"/>
                <w:lang w:val="en-US" w:eastAsia="zh-CN"/>
              </w:rPr>
              <w:t>5</w:t>
            </w:r>
            <w:r>
              <w:rPr>
                <w:rFonts w:hint="eastAsia" w:hAnsi="宋体" w:eastAsia="宋体" w:cs="宋体"/>
                <w:color w:val="000000"/>
                <w:sz w:val="24"/>
                <w:szCs w:val="24"/>
              </w:rPr>
              <w:t>分；</w:t>
            </w:r>
            <w:r>
              <w:rPr>
                <w:rFonts w:hint="eastAsia" w:hAnsi="宋体" w:eastAsia="宋体" w:cs="宋体"/>
                <w:color w:val="000000"/>
                <w:sz w:val="24"/>
                <w:szCs w:val="24"/>
                <w:lang w:val="en-US" w:eastAsia="zh-CN"/>
              </w:rPr>
              <w:t>不满足0分。</w:t>
            </w:r>
            <w:r>
              <w:rPr>
                <w:rFonts w:hint="eastAsia"/>
                <w:color w:val="000000"/>
                <w:sz w:val="24"/>
                <w:szCs w:val="24"/>
              </w:rPr>
              <w:t xml:space="preserve">  </w:t>
            </w:r>
          </w:p>
        </w:tc>
      </w:tr>
      <w:tr w14:paraId="44FA62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7" w:hRule="exact"/>
        </w:trPr>
        <w:tc>
          <w:tcPr>
            <w:tcW w:w="848" w:type="dxa"/>
            <w:noWrap w:val="0"/>
            <w:vAlign w:val="center"/>
          </w:tcPr>
          <w:p w14:paraId="6CD42EE6">
            <w:pPr>
              <w:pStyle w:val="15"/>
              <w:spacing w:line="360" w:lineRule="auto"/>
              <w:jc w:val="center"/>
              <w:rPr>
                <w:bCs/>
                <w:color w:val="000000"/>
                <w:sz w:val="24"/>
                <w:szCs w:val="24"/>
              </w:rPr>
            </w:pPr>
            <w:r>
              <w:rPr>
                <w:bCs/>
                <w:color w:val="000000"/>
                <w:sz w:val="24"/>
                <w:szCs w:val="24"/>
              </w:rPr>
              <w:t>8</w:t>
            </w:r>
          </w:p>
        </w:tc>
        <w:tc>
          <w:tcPr>
            <w:tcW w:w="824" w:type="dxa"/>
            <w:vMerge w:val="continue"/>
            <w:noWrap w:val="0"/>
            <w:vAlign w:val="center"/>
          </w:tcPr>
          <w:p w14:paraId="26198BF5">
            <w:pPr>
              <w:pStyle w:val="15"/>
              <w:spacing w:line="360" w:lineRule="auto"/>
              <w:rPr>
                <w:bCs/>
                <w:color w:val="000000"/>
                <w:sz w:val="24"/>
                <w:szCs w:val="24"/>
              </w:rPr>
            </w:pPr>
          </w:p>
        </w:tc>
        <w:tc>
          <w:tcPr>
            <w:tcW w:w="1697" w:type="dxa"/>
            <w:noWrap w:val="0"/>
            <w:vAlign w:val="center"/>
          </w:tcPr>
          <w:p w14:paraId="441AC2B3">
            <w:pPr>
              <w:pStyle w:val="15"/>
              <w:spacing w:line="360" w:lineRule="auto"/>
              <w:rPr>
                <w:rFonts w:ascii="宋体" w:hAnsi="Courier New"/>
                <w:color w:val="000000"/>
                <w:kern w:val="2"/>
                <w:sz w:val="24"/>
                <w:szCs w:val="24"/>
                <w:lang w:val="en-US" w:eastAsia="zh-CN" w:bidi="ar-SA"/>
              </w:rPr>
            </w:pPr>
            <w:r>
              <w:rPr>
                <w:rFonts w:hint="eastAsia" w:hAnsi="宋体" w:eastAsia="宋体" w:cs="宋体"/>
                <w:color w:val="000000"/>
                <w:sz w:val="24"/>
                <w:szCs w:val="24"/>
              </w:rPr>
              <w:t>质保期及售后服务（</w:t>
            </w:r>
            <w:r>
              <w:rPr>
                <w:rFonts w:hint="eastAsia"/>
                <w:color w:val="000000"/>
                <w:sz w:val="24"/>
                <w:szCs w:val="24"/>
              </w:rPr>
              <w:t>0-</w:t>
            </w:r>
            <w:r>
              <w:rPr>
                <w:rFonts w:hint="eastAsia"/>
                <w:color w:val="000000"/>
                <w:sz w:val="24"/>
                <w:szCs w:val="24"/>
                <w:lang w:val="en-US" w:eastAsia="zh-CN"/>
              </w:rPr>
              <w:t>10</w:t>
            </w:r>
            <w:r>
              <w:rPr>
                <w:rFonts w:hint="eastAsia" w:hAnsi="宋体" w:eastAsia="宋体" w:cs="宋体"/>
                <w:color w:val="000000"/>
                <w:sz w:val="24"/>
                <w:szCs w:val="24"/>
              </w:rPr>
              <w:t>分）</w:t>
            </w:r>
          </w:p>
        </w:tc>
        <w:tc>
          <w:tcPr>
            <w:tcW w:w="6411" w:type="dxa"/>
            <w:noWrap w:val="0"/>
            <w:vAlign w:val="center"/>
          </w:tcPr>
          <w:p w14:paraId="6AA8C668">
            <w:pPr>
              <w:pStyle w:val="15"/>
              <w:spacing w:line="360" w:lineRule="auto"/>
              <w:rPr>
                <w:rFonts w:hint="default" w:hAnsi="宋体" w:eastAsia="宋体" w:cs="宋体"/>
                <w:color w:val="000000"/>
                <w:sz w:val="24"/>
                <w:szCs w:val="24"/>
                <w:lang w:val="en-US"/>
              </w:rPr>
            </w:pPr>
            <w:r>
              <w:rPr>
                <w:rFonts w:hint="eastAsia" w:hAnsi="宋体" w:eastAsia="宋体" w:cs="宋体"/>
                <w:color w:val="000000"/>
                <w:sz w:val="24"/>
                <w:szCs w:val="24"/>
              </w:rPr>
              <w:t>售后服务措施得当，质保期优于招标文件要求</w:t>
            </w:r>
            <w:r>
              <w:rPr>
                <w:rFonts w:hint="eastAsia" w:hAnsi="宋体" w:eastAsia="宋体" w:cs="宋体"/>
                <w:color w:val="000000"/>
                <w:sz w:val="24"/>
                <w:szCs w:val="24"/>
                <w:lang w:val="en-US" w:eastAsia="zh-CN"/>
              </w:rPr>
              <w:t>6-10</w:t>
            </w:r>
            <w:r>
              <w:rPr>
                <w:rFonts w:hint="eastAsia" w:hAnsi="宋体" w:eastAsia="宋体" w:cs="宋体"/>
                <w:color w:val="000000"/>
                <w:sz w:val="24"/>
                <w:szCs w:val="24"/>
              </w:rPr>
              <w:t>分、满足招标文件要求</w:t>
            </w:r>
            <w:r>
              <w:rPr>
                <w:rFonts w:hint="eastAsia" w:hAnsi="宋体" w:eastAsia="宋体" w:cs="宋体"/>
                <w:color w:val="000000"/>
                <w:sz w:val="24"/>
                <w:szCs w:val="24"/>
                <w:lang w:val="en-US" w:eastAsia="zh-CN"/>
              </w:rPr>
              <w:t>5</w:t>
            </w:r>
            <w:r>
              <w:rPr>
                <w:rFonts w:hint="eastAsia" w:hAnsi="宋体" w:eastAsia="宋体" w:cs="宋体"/>
                <w:color w:val="000000"/>
                <w:sz w:val="24"/>
                <w:szCs w:val="24"/>
              </w:rPr>
              <w:t>分；</w:t>
            </w:r>
            <w:r>
              <w:rPr>
                <w:rFonts w:hint="eastAsia" w:hAnsi="宋体" w:eastAsia="宋体" w:cs="宋体"/>
                <w:color w:val="000000"/>
                <w:sz w:val="24"/>
                <w:szCs w:val="24"/>
                <w:lang w:val="en-US" w:eastAsia="zh-CN"/>
              </w:rPr>
              <w:t>不满足0分。</w:t>
            </w:r>
          </w:p>
          <w:p w14:paraId="449F192F">
            <w:pPr>
              <w:pStyle w:val="15"/>
              <w:spacing w:line="360" w:lineRule="auto"/>
              <w:rPr>
                <w:rFonts w:hint="eastAsia" w:ascii="宋体" w:hAnsi="Courier New"/>
                <w:color w:val="000000"/>
                <w:kern w:val="2"/>
                <w:sz w:val="24"/>
                <w:szCs w:val="24"/>
                <w:lang w:val="en-US" w:eastAsia="zh-CN" w:bidi="ar-SA"/>
              </w:rPr>
            </w:pPr>
          </w:p>
        </w:tc>
      </w:tr>
    </w:tbl>
    <w:p w14:paraId="68688CAA">
      <w:pPr>
        <w:pStyle w:val="75"/>
        <w:keepNext w:val="0"/>
        <w:keepLines w:val="0"/>
        <w:pageBreakBefore w:val="0"/>
        <w:widowControl w:val="0"/>
        <w:numPr>
          <w:ilvl w:val="0"/>
          <w:numId w:val="0"/>
        </w:numPr>
        <w:kinsoku/>
        <w:wordWrap/>
        <w:overflowPunct/>
        <w:topLinePunct w:val="0"/>
        <w:autoSpaceDE/>
        <w:autoSpaceDN/>
        <w:bidi w:val="0"/>
        <w:adjustRightInd/>
        <w:snapToGrid/>
        <w:textAlignment w:val="auto"/>
        <w:rPr>
          <w:rFonts w:hint="default" w:ascii="宋体" w:hAnsi="宋体" w:eastAsia="宋体" w:cs="宋体"/>
          <w:b w:val="0"/>
          <w:bCs w:val="0"/>
          <w:sz w:val="24"/>
          <w:szCs w:val="24"/>
          <w:highlight w:val="none"/>
          <w:lang w:val="en-US" w:eastAsia="zh-CN"/>
        </w:rPr>
      </w:pPr>
    </w:p>
    <w:p w14:paraId="7C0A112D">
      <w:pPr>
        <w:pStyle w:val="72"/>
      </w:pPr>
      <w:r>
        <w:rPr>
          <w:rFonts w:hint="eastAsia"/>
          <w:lang w:val="en-US" w:eastAsia="zh-CN"/>
        </w:rPr>
        <w:t>定标</w:t>
      </w:r>
    </w:p>
    <w:p w14:paraId="6B705137">
      <w:pPr>
        <w:pStyle w:val="72"/>
        <w:keepNext w:val="0"/>
        <w:keepLines w:val="0"/>
        <w:pageBreakBefore w:val="0"/>
        <w:widowControl w:val="0"/>
        <w:numPr>
          <w:ilvl w:val="0"/>
          <w:numId w:val="0"/>
        </w:numPr>
        <w:kinsoku/>
        <w:wordWrap/>
        <w:overflowPunct/>
        <w:topLinePunct w:val="0"/>
        <w:autoSpaceDE/>
        <w:autoSpaceDN/>
        <w:bidi w:val="0"/>
        <w:adjustRightInd/>
        <w:snapToGrid/>
        <w:ind w:leftChars="0" w:firstLine="0" w:firstLineChars="0"/>
        <w:textAlignment w:val="auto"/>
        <w:rPr>
          <w:rFonts w:hint="eastAsia" w:ascii="宋体" w:hAnsi="宋体" w:eastAsia="宋体" w:cs="宋体"/>
          <w:b w:val="0"/>
          <w:bCs w:val="0"/>
          <w:sz w:val="21"/>
          <w:szCs w:val="21"/>
          <w:highlight w:val="none"/>
          <w:lang w:eastAsia="zh-CN"/>
        </w:rPr>
      </w:pPr>
      <w:r>
        <w:rPr>
          <w:rFonts w:hint="eastAsia" w:ascii="宋体" w:hAnsi="宋体" w:eastAsia="宋体" w:cs="宋体"/>
          <w:b w:val="0"/>
          <w:bCs w:val="0"/>
          <w:sz w:val="21"/>
          <w:szCs w:val="21"/>
          <w:highlight w:val="none"/>
        </w:rPr>
        <w:t>本项目只产生</w:t>
      </w:r>
      <w:r>
        <w:rPr>
          <w:rFonts w:hint="eastAsia" w:ascii="宋体" w:hAnsi="宋体" w:eastAsia="宋体" w:cs="宋体"/>
          <w:b w:val="0"/>
          <w:bCs w:val="0"/>
          <w:sz w:val="21"/>
          <w:szCs w:val="21"/>
          <w:highlight w:val="yellow"/>
          <w:u w:val="single"/>
          <w:lang w:val="en-US" w:eastAsia="zh-CN"/>
        </w:rPr>
        <w:t xml:space="preserve">  1 </w:t>
      </w:r>
      <w:r>
        <w:rPr>
          <w:rFonts w:hint="eastAsia" w:ascii="宋体" w:hAnsi="宋体" w:eastAsia="宋体" w:cs="宋体"/>
          <w:b w:val="0"/>
          <w:bCs w:val="0"/>
          <w:sz w:val="21"/>
          <w:szCs w:val="21"/>
          <w:highlight w:val="none"/>
        </w:rPr>
        <w:t>个中标人。中标人签订合同前须进行最终审查。最终审查的对象</w:t>
      </w:r>
      <w:r>
        <w:rPr>
          <w:rFonts w:hint="eastAsia" w:ascii="宋体" w:hAnsi="宋体" w:eastAsia="宋体" w:cs="宋体"/>
          <w:b w:val="0"/>
          <w:bCs w:val="0"/>
          <w:sz w:val="21"/>
          <w:szCs w:val="21"/>
          <w:highlight w:val="none"/>
          <w:lang w:val="en-US" w:eastAsia="zh-CN"/>
        </w:rPr>
        <w:t>是</w:t>
      </w:r>
      <w:r>
        <w:rPr>
          <w:rFonts w:hint="eastAsia" w:ascii="宋体" w:hAnsi="宋体" w:eastAsia="宋体" w:cs="宋体"/>
          <w:b w:val="0"/>
          <w:bCs w:val="0"/>
          <w:sz w:val="21"/>
          <w:szCs w:val="21"/>
          <w:highlight w:val="none"/>
        </w:rPr>
        <w:t>投标项目的中标候选人。最终审查的内容是对中标候选人的经营状况、服务质量、资格、信誉以及招标人认为有必要了解的其它问题作进一步的考查及后审。最终审查的方式，根据需要采取问询或实地查证等方式。如审查结果不符合成交条件</w:t>
      </w:r>
      <w:r>
        <w:rPr>
          <w:rFonts w:hint="eastAsia" w:ascii="宋体" w:hAnsi="宋体" w:eastAsia="宋体" w:cs="宋体"/>
          <w:b w:val="0"/>
          <w:bCs w:val="0"/>
          <w:sz w:val="21"/>
          <w:szCs w:val="21"/>
          <w:highlight w:val="none"/>
          <w:lang w:val="en-US" w:eastAsia="zh-CN"/>
        </w:rPr>
        <w:t>的</w:t>
      </w:r>
      <w:r>
        <w:rPr>
          <w:rFonts w:hint="eastAsia" w:ascii="宋体" w:hAnsi="宋体" w:eastAsia="宋体" w:cs="宋体"/>
          <w:b w:val="0"/>
          <w:bCs w:val="0"/>
          <w:sz w:val="21"/>
          <w:szCs w:val="21"/>
          <w:highlight w:val="none"/>
        </w:rPr>
        <w:t>，则本次评标作废</w:t>
      </w:r>
      <w:r>
        <w:rPr>
          <w:rFonts w:hint="eastAsia" w:ascii="宋体" w:hAnsi="宋体" w:eastAsia="宋体" w:cs="宋体"/>
          <w:b w:val="0"/>
          <w:bCs w:val="0"/>
          <w:sz w:val="21"/>
          <w:szCs w:val="21"/>
          <w:highlight w:val="none"/>
          <w:lang w:val="en-US" w:eastAsia="zh-CN"/>
        </w:rPr>
        <w:t>或变更意向中标人</w:t>
      </w:r>
      <w:r>
        <w:rPr>
          <w:rFonts w:hint="eastAsia" w:ascii="宋体" w:hAnsi="宋体" w:eastAsia="宋体" w:cs="宋体"/>
          <w:b w:val="0"/>
          <w:bCs w:val="0"/>
          <w:sz w:val="21"/>
          <w:szCs w:val="21"/>
          <w:highlight w:val="none"/>
          <w:lang w:eastAsia="zh-CN"/>
        </w:rPr>
        <w:t>。</w:t>
      </w:r>
    </w:p>
    <w:p w14:paraId="434A2260">
      <w:pPr>
        <w:pStyle w:val="72"/>
      </w:pPr>
      <w:r>
        <w:rPr>
          <w:rFonts w:hint="eastAsia"/>
          <w:lang w:val="en-US" w:eastAsia="zh-CN"/>
        </w:rPr>
        <w:t>废标及终止招标</w:t>
      </w:r>
    </w:p>
    <w:p w14:paraId="2C8EAF44">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0" w:leftChars="0" w:right="0" w:rightChars="0" w:firstLine="0" w:firstLineChars="0"/>
        <w:textAlignment w:val="auto"/>
        <w:rPr>
          <w:rFonts w:hint="eastAsia" w:ascii="宋体" w:hAnsi="宋体" w:eastAsia="宋体" w:cs="宋体"/>
          <w:color w:val="000000"/>
          <w:sz w:val="21"/>
          <w:szCs w:val="21"/>
          <w:highlight w:val="none"/>
        </w:rPr>
      </w:pPr>
      <w:r>
        <w:rPr>
          <w:rFonts w:hint="default" w:ascii="宋体" w:hAnsi="宋体" w:eastAsia="宋体" w:cs="宋体"/>
          <w:color w:val="000000"/>
          <w:kern w:val="2"/>
          <w:sz w:val="21"/>
          <w:szCs w:val="21"/>
          <w:lang w:val="en-US" w:eastAsia="zh-CN" w:bidi="ar-SA"/>
        </w:rPr>
        <w:t>1.</w:t>
      </w:r>
      <w:r>
        <w:rPr>
          <w:rFonts w:hint="eastAsia" w:ascii="宋体" w:hAnsi="宋体" w:eastAsia="宋体" w:cs="宋体"/>
          <w:color w:val="000000"/>
          <w:sz w:val="21"/>
          <w:szCs w:val="21"/>
          <w:highlight w:val="none"/>
        </w:rPr>
        <w:t>投标人有下列情形之一，其投标将被视为废标，招标人将严格按照《中华人民共和国招标投标法》及相关法律、法规及规章制度的规定行使权利。投标人给招标人造成损失的，招标人有索赔的权利，投标人应予以赔偿。</w:t>
      </w:r>
    </w:p>
    <w:p w14:paraId="7F5A6C57">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425" w:leftChars="0" w:right="2" w:rightChars="0" w:hanging="425" w:firstLineChars="0"/>
        <w:textAlignment w:val="auto"/>
        <w:rPr>
          <w:rFonts w:hint="eastAsia" w:ascii="宋体" w:hAnsi="宋体" w:eastAsia="宋体" w:cs="宋体"/>
          <w:color w:val="000000"/>
          <w:sz w:val="21"/>
          <w:szCs w:val="21"/>
          <w:highlight w:val="none"/>
        </w:rPr>
      </w:pPr>
      <w:r>
        <w:rPr>
          <w:rFonts w:hint="default" w:ascii="宋体" w:hAnsi="宋体" w:eastAsia="宋体" w:cs="宋体"/>
          <w:color w:val="000000"/>
          <w:kern w:val="2"/>
          <w:sz w:val="21"/>
          <w:szCs w:val="21"/>
          <w:lang w:val="en-US" w:eastAsia="zh-CN" w:bidi="ar-SA"/>
        </w:rPr>
        <w:t>(1)</w:t>
      </w:r>
      <w:r>
        <w:rPr>
          <w:rFonts w:hint="eastAsia" w:ascii="宋体" w:hAnsi="宋体" w:eastAsia="宋体" w:cs="宋体"/>
          <w:color w:val="000000"/>
          <w:sz w:val="21"/>
          <w:szCs w:val="21"/>
          <w:highlight w:val="none"/>
        </w:rPr>
        <w:t>投标人提供的有关资格、资质证明文件不合格、不真实或提供虚假投标材料；</w:t>
      </w:r>
    </w:p>
    <w:p w14:paraId="3B8EDBBF">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425" w:leftChars="0" w:right="2" w:rightChars="0" w:hanging="425" w:firstLineChars="0"/>
        <w:textAlignment w:val="auto"/>
        <w:rPr>
          <w:rFonts w:hint="eastAsia" w:ascii="宋体" w:hAnsi="宋体" w:eastAsia="宋体" w:cs="宋体"/>
          <w:color w:val="000000"/>
          <w:sz w:val="21"/>
          <w:szCs w:val="21"/>
          <w:highlight w:val="none"/>
        </w:rPr>
      </w:pPr>
      <w:r>
        <w:rPr>
          <w:rFonts w:hint="default" w:ascii="宋体" w:hAnsi="宋体" w:eastAsia="宋体" w:cs="宋体"/>
          <w:color w:val="000000"/>
          <w:kern w:val="2"/>
          <w:sz w:val="21"/>
          <w:szCs w:val="21"/>
          <w:lang w:val="en-US" w:eastAsia="zh-CN" w:bidi="ar-SA"/>
        </w:rPr>
        <w:t>(2)</w:t>
      </w:r>
      <w:r>
        <w:rPr>
          <w:rFonts w:hint="eastAsia" w:ascii="宋体" w:hAnsi="宋体" w:eastAsia="宋体" w:cs="宋体"/>
          <w:color w:val="000000"/>
          <w:sz w:val="21"/>
          <w:szCs w:val="21"/>
          <w:highlight w:val="none"/>
        </w:rPr>
        <w:t>投标人在报价有效期内撤回投标；</w:t>
      </w:r>
    </w:p>
    <w:p w14:paraId="4343009C">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425" w:leftChars="0" w:right="2" w:rightChars="0" w:hanging="425" w:firstLineChars="0"/>
        <w:textAlignment w:val="auto"/>
        <w:rPr>
          <w:rFonts w:hint="eastAsia" w:ascii="宋体" w:hAnsi="宋体" w:eastAsia="宋体" w:cs="宋体"/>
          <w:color w:val="000000"/>
          <w:sz w:val="21"/>
          <w:szCs w:val="21"/>
          <w:highlight w:val="none"/>
        </w:rPr>
      </w:pPr>
      <w:r>
        <w:rPr>
          <w:rFonts w:hint="default" w:ascii="宋体" w:hAnsi="宋体" w:eastAsia="宋体" w:cs="宋体"/>
          <w:color w:val="000000"/>
          <w:kern w:val="2"/>
          <w:sz w:val="21"/>
          <w:szCs w:val="21"/>
          <w:lang w:val="en-US" w:eastAsia="zh-CN" w:bidi="ar-SA"/>
        </w:rPr>
        <w:t>(3)</w:t>
      </w:r>
      <w:r>
        <w:rPr>
          <w:rFonts w:hint="eastAsia" w:ascii="宋体" w:hAnsi="宋体" w:eastAsia="宋体" w:cs="宋体"/>
          <w:color w:val="000000"/>
          <w:sz w:val="21"/>
          <w:szCs w:val="21"/>
          <w:highlight w:val="none"/>
        </w:rPr>
        <w:t>在整个评标过程中，投标人有企图影响评标结果公正性的任何活动；</w:t>
      </w:r>
    </w:p>
    <w:p w14:paraId="0178F8B7">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425" w:leftChars="0" w:right="2" w:rightChars="0" w:hanging="425" w:firstLineChars="0"/>
        <w:textAlignment w:val="auto"/>
        <w:rPr>
          <w:rFonts w:hint="eastAsia" w:ascii="宋体" w:hAnsi="宋体" w:eastAsia="宋体" w:cs="宋体"/>
          <w:color w:val="000000"/>
          <w:kern w:val="2"/>
          <w:sz w:val="21"/>
          <w:szCs w:val="21"/>
          <w:lang w:val="en-US" w:eastAsia="zh-CN" w:bidi="ar-SA"/>
        </w:rPr>
      </w:pPr>
      <w:r>
        <w:rPr>
          <w:rFonts w:hint="default" w:ascii="宋体" w:hAnsi="宋体" w:eastAsia="宋体" w:cs="宋体"/>
          <w:color w:val="000000"/>
          <w:kern w:val="2"/>
          <w:sz w:val="21"/>
          <w:szCs w:val="21"/>
          <w:lang w:val="en-US" w:eastAsia="zh-CN" w:bidi="ar-SA"/>
        </w:rPr>
        <w:t>(4)</w:t>
      </w:r>
      <w:r>
        <w:rPr>
          <w:rFonts w:hint="eastAsia" w:ascii="宋体" w:hAnsi="宋体" w:eastAsia="宋体" w:cs="宋体"/>
          <w:color w:val="000000"/>
          <w:kern w:val="2"/>
          <w:sz w:val="21"/>
          <w:szCs w:val="21"/>
          <w:lang w:val="en-US" w:eastAsia="zh-CN" w:bidi="ar-SA"/>
        </w:rPr>
        <w:t>投标人以任何方式诋毁其他投标人；</w:t>
      </w:r>
    </w:p>
    <w:p w14:paraId="4A1479FB">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425" w:leftChars="0" w:right="2" w:rightChars="0" w:hanging="425" w:firstLineChars="0"/>
        <w:textAlignment w:val="auto"/>
        <w:rPr>
          <w:rFonts w:hint="eastAsia" w:ascii="宋体" w:hAnsi="宋体" w:eastAsia="宋体" w:cs="宋体"/>
          <w:color w:val="000000"/>
          <w:kern w:val="2"/>
          <w:sz w:val="21"/>
          <w:szCs w:val="21"/>
          <w:lang w:val="en-US" w:eastAsia="zh-CN" w:bidi="ar-SA"/>
        </w:rPr>
      </w:pPr>
      <w:r>
        <w:rPr>
          <w:rFonts w:hint="default" w:ascii="宋体" w:hAnsi="宋体" w:eastAsia="宋体" w:cs="宋体"/>
          <w:color w:val="000000"/>
          <w:kern w:val="2"/>
          <w:sz w:val="21"/>
          <w:szCs w:val="21"/>
          <w:lang w:val="en-US" w:eastAsia="zh-CN" w:bidi="ar-SA"/>
        </w:rPr>
        <w:t>(5)</w:t>
      </w:r>
      <w:r>
        <w:rPr>
          <w:rFonts w:hint="eastAsia" w:ascii="宋体" w:hAnsi="宋体" w:eastAsia="宋体" w:cs="宋体"/>
          <w:color w:val="000000"/>
          <w:kern w:val="2"/>
          <w:sz w:val="21"/>
          <w:szCs w:val="21"/>
          <w:lang w:val="en-US" w:eastAsia="zh-CN" w:bidi="ar-SA"/>
        </w:rPr>
        <w:t>投标人串通投标；</w:t>
      </w:r>
    </w:p>
    <w:p w14:paraId="57D4CDCD">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425" w:leftChars="0" w:right="2" w:rightChars="0" w:hanging="425" w:firstLineChars="0"/>
        <w:textAlignment w:val="auto"/>
        <w:rPr>
          <w:rFonts w:hint="eastAsia" w:ascii="宋体" w:hAnsi="宋体" w:eastAsia="宋体" w:cs="宋体"/>
          <w:color w:val="000000"/>
          <w:kern w:val="2"/>
          <w:sz w:val="21"/>
          <w:szCs w:val="21"/>
          <w:lang w:val="en-US" w:eastAsia="zh-CN" w:bidi="ar-SA"/>
        </w:rPr>
      </w:pPr>
      <w:r>
        <w:rPr>
          <w:rFonts w:hint="default" w:ascii="宋体" w:hAnsi="宋体" w:eastAsia="宋体" w:cs="宋体"/>
          <w:color w:val="000000"/>
          <w:kern w:val="2"/>
          <w:sz w:val="21"/>
          <w:szCs w:val="21"/>
          <w:lang w:val="en-US" w:eastAsia="zh-CN" w:bidi="ar-SA"/>
        </w:rPr>
        <w:t>(6)</w:t>
      </w:r>
      <w:r>
        <w:rPr>
          <w:rFonts w:hint="eastAsia" w:ascii="宋体" w:hAnsi="宋体" w:eastAsia="宋体" w:cs="宋体"/>
          <w:color w:val="000000"/>
          <w:kern w:val="2"/>
          <w:sz w:val="21"/>
          <w:szCs w:val="21"/>
          <w:lang w:val="en-US" w:eastAsia="zh-CN" w:bidi="ar-SA"/>
        </w:rPr>
        <w:t>投标人被举报、检举，并经招标人查实无误的；</w:t>
      </w:r>
    </w:p>
    <w:p w14:paraId="019FF29E">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425" w:leftChars="0" w:right="2" w:rightChars="0" w:hanging="425" w:firstLineChars="0"/>
        <w:textAlignment w:val="auto"/>
        <w:rPr>
          <w:rFonts w:hint="eastAsia" w:ascii="宋体" w:hAnsi="宋体" w:eastAsia="宋体" w:cs="宋体"/>
          <w:color w:val="000000"/>
          <w:kern w:val="2"/>
          <w:sz w:val="21"/>
          <w:szCs w:val="21"/>
          <w:lang w:val="en-US" w:eastAsia="zh-CN" w:bidi="ar-SA"/>
        </w:rPr>
      </w:pPr>
      <w:r>
        <w:rPr>
          <w:rFonts w:hint="default" w:ascii="宋体" w:hAnsi="宋体" w:eastAsia="宋体" w:cs="宋体"/>
          <w:color w:val="000000"/>
          <w:kern w:val="2"/>
          <w:sz w:val="21"/>
          <w:szCs w:val="21"/>
          <w:lang w:val="en-US" w:eastAsia="zh-CN" w:bidi="ar-SA"/>
        </w:rPr>
        <w:t>(7)</w:t>
      </w:r>
      <w:r>
        <w:rPr>
          <w:rFonts w:hint="eastAsia" w:ascii="宋体" w:hAnsi="宋体" w:eastAsia="宋体" w:cs="宋体"/>
          <w:color w:val="000000"/>
          <w:kern w:val="2"/>
          <w:sz w:val="21"/>
          <w:szCs w:val="21"/>
          <w:lang w:val="en-US" w:eastAsia="zh-CN" w:bidi="ar-SA"/>
        </w:rPr>
        <w:t>以他人名义投标或者以其他方式弄虚作假，骗取中标的；</w:t>
      </w:r>
    </w:p>
    <w:p w14:paraId="7FEF7086">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425" w:leftChars="0" w:right="2" w:rightChars="0" w:hanging="425" w:firstLineChars="0"/>
        <w:textAlignment w:val="auto"/>
        <w:rPr>
          <w:rFonts w:hint="eastAsia" w:ascii="宋体" w:hAnsi="宋体" w:eastAsia="宋体" w:cs="宋体"/>
          <w:color w:val="000000"/>
          <w:kern w:val="2"/>
          <w:sz w:val="21"/>
          <w:szCs w:val="21"/>
          <w:lang w:val="en-US" w:eastAsia="zh-CN" w:bidi="ar-SA"/>
        </w:rPr>
      </w:pPr>
      <w:r>
        <w:rPr>
          <w:rFonts w:hint="default" w:ascii="宋体" w:hAnsi="宋体" w:eastAsia="宋体" w:cs="宋体"/>
          <w:color w:val="000000"/>
          <w:kern w:val="2"/>
          <w:sz w:val="21"/>
          <w:szCs w:val="21"/>
          <w:lang w:val="en-US" w:eastAsia="zh-CN" w:bidi="ar-SA"/>
        </w:rPr>
        <w:t>(8)</w:t>
      </w:r>
      <w:r>
        <w:rPr>
          <w:rFonts w:hint="eastAsia" w:ascii="宋体" w:hAnsi="宋体" w:eastAsia="宋体" w:cs="宋体"/>
          <w:color w:val="000000"/>
          <w:kern w:val="2"/>
          <w:sz w:val="21"/>
          <w:szCs w:val="21"/>
          <w:lang w:val="en-US" w:eastAsia="zh-CN" w:bidi="ar-SA"/>
        </w:rPr>
        <w:t>投标人负责人为同一人或者存在控股、管理关系的不同单位；</w:t>
      </w:r>
    </w:p>
    <w:p w14:paraId="5DB4D46C">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425" w:leftChars="0" w:right="2" w:rightChars="0" w:hanging="425" w:firstLineChars="0"/>
        <w:textAlignment w:val="auto"/>
        <w:rPr>
          <w:rFonts w:hint="eastAsia" w:ascii="宋体" w:hAnsi="宋体" w:eastAsia="宋体" w:cs="宋体"/>
          <w:color w:val="000000"/>
          <w:kern w:val="2"/>
          <w:sz w:val="21"/>
          <w:szCs w:val="21"/>
          <w:lang w:val="en-US" w:eastAsia="zh-CN" w:bidi="ar-SA"/>
        </w:rPr>
      </w:pPr>
      <w:r>
        <w:rPr>
          <w:rFonts w:hint="default" w:ascii="宋体" w:hAnsi="宋体" w:eastAsia="宋体" w:cs="宋体"/>
          <w:color w:val="000000"/>
          <w:kern w:val="2"/>
          <w:sz w:val="21"/>
          <w:szCs w:val="21"/>
          <w:lang w:val="en-US" w:eastAsia="zh-CN" w:bidi="ar-SA"/>
        </w:rPr>
        <w:t>(9)</w:t>
      </w:r>
      <w:r>
        <w:rPr>
          <w:rFonts w:hint="eastAsia" w:ascii="宋体" w:hAnsi="宋体" w:eastAsia="宋体" w:cs="宋体"/>
          <w:color w:val="000000"/>
          <w:kern w:val="2"/>
          <w:sz w:val="21"/>
          <w:szCs w:val="21"/>
          <w:lang w:val="en-US" w:eastAsia="zh-CN" w:bidi="ar-SA"/>
        </w:rPr>
        <w:t>有效投标不足三家；</w:t>
      </w:r>
    </w:p>
    <w:p w14:paraId="06AA862F">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425" w:leftChars="0" w:right="2" w:rightChars="0" w:hanging="425" w:firstLineChars="0"/>
        <w:textAlignment w:val="auto"/>
        <w:rPr>
          <w:rFonts w:hint="eastAsia" w:ascii="宋体" w:hAnsi="宋体" w:eastAsia="宋体" w:cs="宋体"/>
          <w:color w:val="000000"/>
          <w:kern w:val="2"/>
          <w:sz w:val="21"/>
          <w:szCs w:val="21"/>
          <w:lang w:val="en-US" w:eastAsia="zh-CN" w:bidi="ar-SA"/>
        </w:rPr>
      </w:pPr>
      <w:r>
        <w:rPr>
          <w:rFonts w:hint="default" w:ascii="宋体" w:hAnsi="宋体" w:eastAsia="宋体" w:cs="宋体"/>
          <w:color w:val="000000"/>
          <w:kern w:val="2"/>
          <w:sz w:val="21"/>
          <w:szCs w:val="21"/>
          <w:lang w:val="en-US" w:eastAsia="zh-CN" w:bidi="ar-SA"/>
        </w:rPr>
        <w:t>(10)</w:t>
      </w:r>
      <w:r>
        <w:rPr>
          <w:rFonts w:hint="eastAsia" w:ascii="宋体" w:hAnsi="宋体" w:eastAsia="宋体" w:cs="宋体"/>
          <w:color w:val="000000"/>
          <w:kern w:val="2"/>
          <w:sz w:val="21"/>
          <w:szCs w:val="21"/>
          <w:lang w:val="en-US" w:eastAsia="zh-CN" w:bidi="ar-SA"/>
        </w:rPr>
        <w:t>不同投标人的投标文件异常一致或者投标报价呈规律性差异的；</w:t>
      </w:r>
    </w:p>
    <w:p w14:paraId="1AD76C75">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425" w:leftChars="0" w:right="2" w:rightChars="0" w:hanging="425" w:firstLineChars="0"/>
        <w:textAlignment w:val="auto"/>
        <w:rPr>
          <w:rFonts w:hint="eastAsia" w:ascii="宋体" w:hAnsi="宋体" w:eastAsia="宋体" w:cs="宋体"/>
          <w:color w:val="000000"/>
          <w:kern w:val="2"/>
          <w:sz w:val="21"/>
          <w:szCs w:val="21"/>
          <w:lang w:val="en-US" w:eastAsia="zh-CN" w:bidi="ar-SA"/>
        </w:rPr>
      </w:pPr>
      <w:r>
        <w:rPr>
          <w:rFonts w:hint="default" w:ascii="宋体" w:hAnsi="宋体" w:eastAsia="宋体" w:cs="宋体"/>
          <w:color w:val="000000"/>
          <w:kern w:val="2"/>
          <w:sz w:val="21"/>
          <w:szCs w:val="21"/>
          <w:lang w:val="en-US" w:eastAsia="zh-CN" w:bidi="ar-SA"/>
        </w:rPr>
        <w:t>(11)</w:t>
      </w:r>
      <w:r>
        <w:rPr>
          <w:rFonts w:hint="eastAsia" w:ascii="宋体" w:hAnsi="宋体" w:eastAsia="宋体" w:cs="宋体"/>
          <w:color w:val="000000"/>
          <w:kern w:val="2"/>
          <w:sz w:val="21"/>
          <w:szCs w:val="21"/>
          <w:lang w:val="en-US" w:eastAsia="zh-CN" w:bidi="ar-SA"/>
        </w:rPr>
        <w:t>投标人报价均超过最高限价的；</w:t>
      </w:r>
    </w:p>
    <w:p w14:paraId="0D7AB830">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425" w:leftChars="0" w:right="2" w:rightChars="0" w:hanging="425" w:firstLineChars="0"/>
        <w:textAlignment w:val="auto"/>
        <w:rPr>
          <w:rFonts w:hint="eastAsia" w:ascii="宋体" w:hAnsi="宋体" w:eastAsia="宋体" w:cs="宋体"/>
          <w:color w:val="000000"/>
          <w:kern w:val="2"/>
          <w:sz w:val="21"/>
          <w:szCs w:val="21"/>
          <w:lang w:val="en-US" w:eastAsia="zh-CN" w:bidi="ar-SA"/>
        </w:rPr>
      </w:pPr>
      <w:r>
        <w:rPr>
          <w:rFonts w:hint="default" w:ascii="宋体" w:hAnsi="宋体" w:eastAsia="宋体" w:cs="宋体"/>
          <w:color w:val="000000"/>
          <w:kern w:val="2"/>
          <w:sz w:val="21"/>
          <w:szCs w:val="21"/>
          <w:lang w:val="en-US" w:eastAsia="zh-CN" w:bidi="ar-SA"/>
        </w:rPr>
        <w:t>(12)</w:t>
      </w:r>
      <w:r>
        <w:rPr>
          <w:rFonts w:hint="eastAsia" w:ascii="宋体" w:hAnsi="宋体" w:eastAsia="宋体" w:cs="宋体"/>
          <w:color w:val="000000"/>
          <w:kern w:val="2"/>
          <w:sz w:val="21"/>
          <w:szCs w:val="21"/>
          <w:lang w:val="en-US" w:eastAsia="zh-CN" w:bidi="ar-SA"/>
        </w:rPr>
        <w:t>未按要求填报商务报价资料，对招标开展造成较大影响；</w:t>
      </w:r>
    </w:p>
    <w:p w14:paraId="46E47302">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425" w:leftChars="0" w:right="2" w:rightChars="0" w:hanging="425" w:firstLineChars="0"/>
        <w:textAlignment w:val="auto"/>
        <w:rPr>
          <w:rFonts w:hint="eastAsia" w:ascii="宋体" w:hAnsi="宋体" w:eastAsia="宋体" w:cs="宋体"/>
          <w:color w:val="000000"/>
          <w:kern w:val="2"/>
          <w:sz w:val="21"/>
          <w:szCs w:val="21"/>
          <w:lang w:val="en-US" w:eastAsia="zh-CN" w:bidi="ar-SA"/>
        </w:rPr>
      </w:pPr>
      <w:r>
        <w:rPr>
          <w:rFonts w:hint="default" w:ascii="宋体" w:hAnsi="宋体" w:eastAsia="宋体" w:cs="宋体"/>
          <w:color w:val="000000"/>
          <w:kern w:val="2"/>
          <w:sz w:val="21"/>
          <w:szCs w:val="21"/>
          <w:lang w:val="en-US" w:eastAsia="zh-CN" w:bidi="ar-SA"/>
        </w:rPr>
        <w:t>(13)</w:t>
      </w:r>
      <w:r>
        <w:rPr>
          <w:rFonts w:hint="eastAsia" w:ascii="宋体" w:hAnsi="宋体" w:eastAsia="宋体" w:cs="宋体"/>
          <w:color w:val="000000"/>
          <w:kern w:val="2"/>
          <w:sz w:val="21"/>
          <w:szCs w:val="21"/>
          <w:lang w:val="en-US" w:eastAsia="zh-CN" w:bidi="ar-SA"/>
        </w:rPr>
        <w:t>未按照招标人规定的时间内在中国重汽e采通完成投标的；</w:t>
      </w:r>
    </w:p>
    <w:p w14:paraId="2A852CD1">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425" w:leftChars="0" w:right="2" w:rightChars="0" w:hanging="425" w:firstLineChars="0"/>
        <w:textAlignment w:val="auto"/>
        <w:rPr>
          <w:rFonts w:hint="eastAsia" w:ascii="宋体" w:hAnsi="宋体" w:eastAsia="宋体" w:cs="宋体"/>
          <w:color w:val="000000"/>
          <w:kern w:val="2"/>
          <w:sz w:val="21"/>
          <w:szCs w:val="21"/>
          <w:lang w:val="en-US" w:eastAsia="zh-CN" w:bidi="ar-SA"/>
        </w:rPr>
      </w:pPr>
      <w:r>
        <w:rPr>
          <w:rFonts w:hint="default" w:ascii="宋体" w:hAnsi="宋体" w:eastAsia="宋体" w:cs="宋体"/>
          <w:color w:val="000000"/>
          <w:kern w:val="2"/>
          <w:sz w:val="21"/>
          <w:szCs w:val="21"/>
          <w:lang w:val="en-US" w:eastAsia="zh-CN" w:bidi="ar-SA"/>
        </w:rPr>
        <w:t>(14)</w:t>
      </w:r>
      <w:r>
        <w:rPr>
          <w:rFonts w:hint="eastAsia" w:ascii="宋体" w:hAnsi="宋体" w:eastAsia="宋体" w:cs="宋体"/>
          <w:color w:val="000000"/>
          <w:kern w:val="2"/>
          <w:sz w:val="21"/>
          <w:szCs w:val="21"/>
          <w:lang w:val="en-US" w:eastAsia="zh-CN" w:bidi="ar-SA"/>
        </w:rPr>
        <w:t>法律、法规规定的其他情况。</w:t>
      </w:r>
    </w:p>
    <w:p w14:paraId="75E706C7">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425" w:leftChars="0" w:right="2" w:rightChars="0" w:hanging="425" w:firstLineChars="0"/>
        <w:textAlignment w:val="auto"/>
        <w:rPr>
          <w:rFonts w:hint="eastAsia" w:ascii="宋体" w:hAnsi="宋体" w:eastAsia="宋体" w:cs="宋体"/>
          <w:sz w:val="21"/>
          <w:szCs w:val="21"/>
          <w:highlight w:val="none"/>
        </w:rPr>
      </w:pPr>
      <w:r>
        <w:rPr>
          <w:rFonts w:hint="eastAsia" w:ascii="宋体" w:hAnsi="宋体" w:cs="宋体"/>
          <w:kern w:val="2"/>
          <w:sz w:val="21"/>
          <w:szCs w:val="21"/>
          <w:lang w:val="en-US" w:eastAsia="zh-CN" w:bidi="ar-SA"/>
        </w:rPr>
        <w:t>2</w:t>
      </w:r>
      <w:r>
        <w:rPr>
          <w:rFonts w:hint="default" w:ascii="宋体" w:hAnsi="宋体" w:eastAsia="宋体" w:cs="宋体"/>
          <w:kern w:val="2"/>
          <w:sz w:val="21"/>
          <w:szCs w:val="21"/>
          <w:lang w:val="en-US" w:eastAsia="zh-CN" w:bidi="ar-SA"/>
        </w:rPr>
        <w:t>.</w:t>
      </w:r>
      <w:r>
        <w:rPr>
          <w:rFonts w:hint="eastAsia" w:ascii="宋体" w:hAnsi="宋体" w:eastAsia="宋体" w:cs="宋体"/>
          <w:sz w:val="21"/>
          <w:szCs w:val="21"/>
          <w:highlight w:val="none"/>
        </w:rPr>
        <w:t>出现下列情形之一，招标人有权否决所有投标人的投标，并终止招标。</w:t>
      </w:r>
    </w:p>
    <w:p w14:paraId="6BC017B6">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425" w:leftChars="0" w:right="2" w:rightChars="0" w:hanging="425" w:firstLineChars="0"/>
        <w:textAlignment w:val="auto"/>
        <w:rPr>
          <w:rFonts w:hint="eastAsia" w:ascii="宋体" w:hAnsi="宋体" w:eastAsia="宋体" w:cs="宋体"/>
          <w:color w:val="000000"/>
          <w:kern w:val="2"/>
          <w:sz w:val="21"/>
          <w:szCs w:val="21"/>
          <w:lang w:val="en-US" w:eastAsia="zh-CN" w:bidi="ar-SA"/>
        </w:rPr>
      </w:pPr>
      <w:r>
        <w:rPr>
          <w:rFonts w:hint="default" w:ascii="宋体" w:hAnsi="宋体" w:eastAsia="宋体" w:cs="宋体"/>
          <w:color w:val="000000"/>
          <w:kern w:val="2"/>
          <w:sz w:val="21"/>
          <w:szCs w:val="21"/>
          <w:lang w:val="en-US" w:eastAsia="zh-CN" w:bidi="ar-SA"/>
        </w:rPr>
        <w:t>(</w:t>
      </w:r>
      <w:r>
        <w:rPr>
          <w:rFonts w:hint="eastAsia" w:ascii="宋体" w:hAnsi="宋体" w:eastAsia="宋体" w:cs="宋体"/>
          <w:color w:val="000000"/>
          <w:kern w:val="2"/>
          <w:sz w:val="21"/>
          <w:szCs w:val="21"/>
          <w:lang w:val="en-US" w:eastAsia="zh-CN" w:bidi="ar-SA"/>
        </w:rPr>
        <w:t>1</w:t>
      </w:r>
      <w:r>
        <w:rPr>
          <w:rFonts w:hint="default" w:ascii="宋体" w:hAnsi="宋体" w:eastAsia="宋体" w:cs="宋体"/>
          <w:color w:val="000000"/>
          <w:kern w:val="2"/>
          <w:sz w:val="21"/>
          <w:szCs w:val="21"/>
          <w:lang w:val="en-US" w:eastAsia="zh-CN" w:bidi="ar-SA"/>
        </w:rPr>
        <w:t>)</w:t>
      </w:r>
      <w:r>
        <w:rPr>
          <w:rFonts w:hint="eastAsia" w:ascii="宋体" w:hAnsi="宋体" w:eastAsia="宋体" w:cs="宋体"/>
          <w:color w:val="000000"/>
          <w:kern w:val="2"/>
          <w:sz w:val="21"/>
          <w:szCs w:val="21"/>
          <w:lang w:val="en-US" w:eastAsia="zh-CN" w:bidi="ar-SA"/>
        </w:rPr>
        <w:t>符合条件的投标人或者对招标文件做实质响应的投标人不足三家的；</w:t>
      </w:r>
    </w:p>
    <w:p w14:paraId="4633ED60">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425" w:leftChars="0" w:right="2" w:rightChars="0" w:hanging="425" w:firstLineChars="0"/>
        <w:textAlignment w:val="auto"/>
        <w:rPr>
          <w:rFonts w:hint="eastAsia" w:ascii="宋体" w:hAnsi="宋体" w:eastAsia="宋体" w:cs="宋体"/>
          <w:color w:val="000000"/>
          <w:kern w:val="2"/>
          <w:sz w:val="21"/>
          <w:szCs w:val="21"/>
          <w:lang w:val="en-US" w:eastAsia="zh-CN" w:bidi="ar-SA"/>
        </w:rPr>
      </w:pPr>
      <w:r>
        <w:rPr>
          <w:rFonts w:hint="default" w:ascii="宋体" w:hAnsi="宋体" w:eastAsia="宋体" w:cs="宋体"/>
          <w:color w:val="000000"/>
          <w:kern w:val="2"/>
          <w:sz w:val="21"/>
          <w:szCs w:val="21"/>
          <w:lang w:val="en-US" w:eastAsia="zh-CN" w:bidi="ar-SA"/>
        </w:rPr>
        <w:t>(</w:t>
      </w:r>
      <w:r>
        <w:rPr>
          <w:rFonts w:hint="eastAsia" w:ascii="宋体" w:hAnsi="宋体" w:eastAsia="宋体" w:cs="宋体"/>
          <w:color w:val="000000"/>
          <w:kern w:val="2"/>
          <w:sz w:val="21"/>
          <w:szCs w:val="21"/>
          <w:lang w:val="en-US" w:eastAsia="zh-CN" w:bidi="ar-SA"/>
        </w:rPr>
        <w:t>2</w:t>
      </w:r>
      <w:r>
        <w:rPr>
          <w:rFonts w:hint="default" w:ascii="宋体" w:hAnsi="宋体" w:eastAsia="宋体" w:cs="宋体"/>
          <w:color w:val="000000"/>
          <w:kern w:val="2"/>
          <w:sz w:val="21"/>
          <w:szCs w:val="21"/>
          <w:lang w:val="en-US" w:eastAsia="zh-CN" w:bidi="ar-SA"/>
        </w:rPr>
        <w:t>)</w:t>
      </w:r>
      <w:r>
        <w:rPr>
          <w:rFonts w:hint="eastAsia" w:ascii="宋体" w:hAnsi="宋体" w:eastAsia="宋体" w:cs="宋体"/>
          <w:color w:val="000000"/>
          <w:kern w:val="2"/>
          <w:sz w:val="21"/>
          <w:szCs w:val="21"/>
          <w:lang w:val="en-US" w:eastAsia="zh-CN" w:bidi="ar-SA"/>
        </w:rPr>
        <w:t>出现影响采购公正的违法、违规行为的；</w:t>
      </w:r>
    </w:p>
    <w:p w14:paraId="3D9449A9">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425" w:leftChars="0" w:right="2" w:rightChars="0" w:hanging="425" w:firstLineChars="0"/>
        <w:textAlignment w:val="auto"/>
        <w:rPr>
          <w:rFonts w:hint="eastAsia" w:ascii="宋体" w:hAnsi="宋体" w:eastAsia="宋体" w:cs="宋体"/>
          <w:color w:val="000000"/>
          <w:kern w:val="2"/>
          <w:sz w:val="21"/>
          <w:szCs w:val="21"/>
          <w:lang w:val="en-US" w:eastAsia="zh-CN" w:bidi="ar-SA"/>
        </w:rPr>
      </w:pPr>
      <w:r>
        <w:rPr>
          <w:rFonts w:hint="default" w:ascii="宋体" w:hAnsi="宋体" w:eastAsia="宋体" w:cs="宋体"/>
          <w:color w:val="000000"/>
          <w:kern w:val="2"/>
          <w:sz w:val="21"/>
          <w:szCs w:val="21"/>
          <w:lang w:val="en-US" w:eastAsia="zh-CN" w:bidi="ar-SA"/>
        </w:rPr>
        <w:t>(</w:t>
      </w:r>
      <w:r>
        <w:rPr>
          <w:rFonts w:hint="eastAsia" w:ascii="宋体" w:hAnsi="宋体" w:eastAsia="宋体" w:cs="宋体"/>
          <w:color w:val="000000"/>
          <w:kern w:val="2"/>
          <w:sz w:val="21"/>
          <w:szCs w:val="21"/>
          <w:lang w:val="en-US" w:eastAsia="zh-CN" w:bidi="ar-SA"/>
        </w:rPr>
        <w:t>3</w:t>
      </w:r>
      <w:r>
        <w:rPr>
          <w:rFonts w:hint="default" w:ascii="宋体" w:hAnsi="宋体" w:eastAsia="宋体" w:cs="宋体"/>
          <w:color w:val="000000"/>
          <w:kern w:val="2"/>
          <w:sz w:val="21"/>
          <w:szCs w:val="21"/>
          <w:lang w:val="en-US" w:eastAsia="zh-CN" w:bidi="ar-SA"/>
        </w:rPr>
        <w:t>)</w:t>
      </w:r>
      <w:r>
        <w:rPr>
          <w:rFonts w:hint="eastAsia" w:ascii="宋体" w:hAnsi="宋体" w:eastAsia="宋体" w:cs="宋体"/>
          <w:color w:val="000000"/>
          <w:kern w:val="2"/>
          <w:sz w:val="21"/>
          <w:szCs w:val="21"/>
          <w:lang w:val="en-US" w:eastAsia="zh-CN" w:bidi="ar-SA"/>
        </w:rPr>
        <w:t>评标委员会经评审，认为所有投标都不符合招标文件要求的；</w:t>
      </w:r>
    </w:p>
    <w:p w14:paraId="1872B765">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425" w:leftChars="0" w:right="2" w:rightChars="0" w:hanging="425" w:firstLineChars="0"/>
        <w:textAlignment w:val="auto"/>
        <w:rPr>
          <w:rFonts w:hint="eastAsia" w:ascii="宋体" w:hAnsi="宋体" w:eastAsia="宋体" w:cs="宋体"/>
          <w:color w:val="000000"/>
          <w:kern w:val="2"/>
          <w:sz w:val="21"/>
          <w:szCs w:val="21"/>
          <w:lang w:val="en-US" w:eastAsia="zh-CN" w:bidi="ar-SA"/>
        </w:rPr>
      </w:pPr>
      <w:r>
        <w:rPr>
          <w:rFonts w:hint="default" w:ascii="宋体" w:hAnsi="宋体" w:eastAsia="宋体" w:cs="宋体"/>
          <w:color w:val="000000"/>
          <w:kern w:val="2"/>
          <w:sz w:val="21"/>
          <w:szCs w:val="21"/>
          <w:lang w:val="en-US" w:eastAsia="zh-CN" w:bidi="ar-SA"/>
        </w:rPr>
        <w:t>(</w:t>
      </w:r>
      <w:r>
        <w:rPr>
          <w:rFonts w:hint="eastAsia" w:ascii="宋体" w:hAnsi="宋体" w:eastAsia="宋体" w:cs="宋体"/>
          <w:color w:val="000000"/>
          <w:kern w:val="2"/>
          <w:sz w:val="21"/>
          <w:szCs w:val="21"/>
          <w:lang w:val="en-US" w:eastAsia="zh-CN" w:bidi="ar-SA"/>
        </w:rPr>
        <w:t>4</w:t>
      </w:r>
      <w:r>
        <w:rPr>
          <w:rFonts w:hint="default" w:ascii="宋体" w:hAnsi="宋体" w:eastAsia="宋体" w:cs="宋体"/>
          <w:color w:val="000000"/>
          <w:kern w:val="2"/>
          <w:sz w:val="21"/>
          <w:szCs w:val="21"/>
          <w:lang w:val="en-US" w:eastAsia="zh-CN" w:bidi="ar-SA"/>
        </w:rPr>
        <w:t>)</w:t>
      </w:r>
      <w:r>
        <w:rPr>
          <w:rFonts w:hint="eastAsia" w:ascii="宋体" w:hAnsi="宋体" w:eastAsia="宋体" w:cs="宋体"/>
          <w:color w:val="000000"/>
          <w:kern w:val="2"/>
          <w:sz w:val="21"/>
          <w:szCs w:val="21"/>
          <w:lang w:val="en-US" w:eastAsia="zh-CN" w:bidi="ar-SA"/>
        </w:rPr>
        <w:t>因重大变故，采购任务取消的</w:t>
      </w:r>
      <w:bookmarkStart w:id="14" w:name="OLE_LINK26"/>
      <w:bookmarkStart w:id="15" w:name="OLE_LINK27"/>
      <w:bookmarkStart w:id="16" w:name="OLE_LINK28"/>
      <w:bookmarkStart w:id="17" w:name="OLE_LINK25"/>
      <w:bookmarkStart w:id="18" w:name="OLE_LINK29"/>
      <w:r>
        <w:rPr>
          <w:rFonts w:hint="eastAsia" w:ascii="宋体" w:hAnsi="宋体" w:eastAsia="宋体" w:cs="宋体"/>
          <w:color w:val="000000"/>
          <w:kern w:val="2"/>
          <w:sz w:val="21"/>
          <w:szCs w:val="21"/>
          <w:lang w:val="en-US" w:eastAsia="zh-CN" w:bidi="ar-SA"/>
        </w:rPr>
        <w:t>；</w:t>
      </w:r>
      <w:bookmarkEnd w:id="14"/>
      <w:bookmarkEnd w:id="15"/>
      <w:bookmarkEnd w:id="16"/>
      <w:bookmarkEnd w:id="17"/>
      <w:bookmarkEnd w:id="18"/>
    </w:p>
    <w:p w14:paraId="5CD1D199">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425" w:leftChars="0" w:right="2" w:rightChars="0" w:hanging="425" w:firstLineChars="0"/>
        <w:textAlignment w:val="auto"/>
        <w:rPr>
          <w:rFonts w:hint="eastAsia" w:ascii="宋体" w:hAnsi="宋体" w:eastAsia="宋体" w:cs="宋体"/>
          <w:bCs/>
          <w:sz w:val="21"/>
          <w:szCs w:val="21"/>
          <w:highlight w:val="none"/>
        </w:rPr>
      </w:pPr>
      <w:r>
        <w:rPr>
          <w:rFonts w:hint="default" w:ascii="宋体" w:hAnsi="宋体" w:eastAsia="宋体" w:cs="宋体"/>
          <w:color w:val="000000"/>
          <w:kern w:val="2"/>
          <w:sz w:val="21"/>
          <w:szCs w:val="21"/>
          <w:lang w:val="en-US" w:eastAsia="zh-CN" w:bidi="ar-SA"/>
        </w:rPr>
        <w:t>(</w:t>
      </w:r>
      <w:r>
        <w:rPr>
          <w:rFonts w:hint="eastAsia" w:ascii="宋体" w:hAnsi="宋体" w:eastAsia="宋体" w:cs="宋体"/>
          <w:color w:val="000000"/>
          <w:kern w:val="2"/>
          <w:sz w:val="21"/>
          <w:szCs w:val="21"/>
          <w:lang w:val="en-US" w:eastAsia="zh-CN" w:bidi="ar-SA"/>
        </w:rPr>
        <w:t>5</w:t>
      </w:r>
      <w:r>
        <w:rPr>
          <w:rFonts w:hint="default" w:ascii="宋体" w:hAnsi="宋体" w:eastAsia="宋体" w:cs="宋体"/>
          <w:color w:val="000000"/>
          <w:kern w:val="2"/>
          <w:sz w:val="21"/>
          <w:szCs w:val="21"/>
          <w:lang w:val="en-US" w:eastAsia="zh-CN" w:bidi="ar-SA"/>
        </w:rPr>
        <w:t>)</w:t>
      </w:r>
      <w:r>
        <w:rPr>
          <w:rFonts w:hint="eastAsia" w:ascii="宋体" w:hAnsi="宋体" w:eastAsia="宋体" w:cs="宋体"/>
          <w:color w:val="000000"/>
          <w:kern w:val="2"/>
          <w:sz w:val="21"/>
          <w:szCs w:val="21"/>
          <w:lang w:val="en-US" w:eastAsia="zh-CN" w:bidi="ar-SA"/>
        </w:rPr>
        <w:t>招标人认为其他应终止招标的情形。</w:t>
      </w:r>
    </w:p>
    <w:p w14:paraId="24E6827E">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0" w:leftChars="0" w:right="0" w:rightChars="0" w:firstLine="0" w:firstLineChars="0"/>
        <w:textAlignment w:val="auto"/>
        <w:rPr>
          <w:sz w:val="21"/>
          <w:szCs w:val="21"/>
        </w:rPr>
      </w:pPr>
      <w:r>
        <w:rPr>
          <w:rFonts w:hint="eastAsia" w:ascii="宋体" w:hAnsi="宋体" w:eastAsia="宋体" w:cs="宋体"/>
          <w:kern w:val="2"/>
          <w:sz w:val="21"/>
          <w:szCs w:val="21"/>
          <w:lang w:val="en-US" w:eastAsia="zh-CN" w:bidi="ar-SA"/>
        </w:rPr>
        <w:t>3</w:t>
      </w:r>
      <w:r>
        <w:rPr>
          <w:rFonts w:hint="default" w:ascii="Times New Roman" w:hAnsi="Times New Roman" w:eastAsia="宋体" w:cs="Times New Roman"/>
          <w:kern w:val="2"/>
          <w:sz w:val="21"/>
          <w:szCs w:val="21"/>
          <w:lang w:val="en-US" w:eastAsia="zh-CN" w:bidi="ar-SA"/>
        </w:rPr>
        <w:t>.</w:t>
      </w:r>
      <w:r>
        <w:rPr>
          <w:rFonts w:hint="eastAsia" w:ascii="宋体" w:hAnsi="宋体" w:eastAsia="宋体" w:cs="宋体"/>
          <w:color w:val="000000"/>
          <w:sz w:val="21"/>
          <w:szCs w:val="21"/>
          <w:highlight w:val="none"/>
        </w:rPr>
        <w:t>中标人瑕疵滞后发现的处理原则：无论基于何种原因，各项本应作为拒绝处理的情形，即便未被及时发现或中标人隐瞒真实情况，而使该中标人通过了资格审核、初评、现场复审、终评或其他所有相关程序，包括已发布中标通知或已签订合同的情形，招标人均有权拒绝或取消中标人资格，一旦中标人被拒绝或该中标人此前的评议结果被取消，相关的一切损失均由该中标人承担。</w:t>
      </w:r>
    </w:p>
    <w:p w14:paraId="3E00D4EE">
      <w:pPr>
        <w:pStyle w:val="72"/>
      </w:pPr>
      <w:r>
        <w:rPr>
          <w:rFonts w:hint="eastAsia"/>
          <w:lang w:val="en-US" w:eastAsia="zh-CN"/>
        </w:rPr>
        <w:t>合同签订</w:t>
      </w:r>
    </w:p>
    <w:p w14:paraId="470297F8">
      <w:pPr>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rPr>
          <w:rFonts w:ascii="宋体" w:hAnsi="宋体" w:cs="宋体"/>
          <w:color w:val="000000"/>
          <w:sz w:val="21"/>
          <w:szCs w:val="21"/>
        </w:rPr>
      </w:pPr>
      <w:r>
        <w:rPr>
          <w:rFonts w:hint="eastAsia" w:ascii="宋体" w:hAnsi="宋体" w:cs="宋体"/>
          <w:color w:val="000000"/>
          <w:sz w:val="21"/>
          <w:szCs w:val="21"/>
        </w:rPr>
        <w:t>1.招标人根据评标工作小组的评标结果确定中标人，在重汽e采通平台公布中标结果，并发送中标通知。</w:t>
      </w:r>
    </w:p>
    <w:p w14:paraId="13B36870">
      <w:pPr>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rPr>
          <w:rFonts w:ascii="宋体" w:hAnsi="宋体" w:cs="宋体"/>
          <w:color w:val="000000"/>
          <w:sz w:val="21"/>
          <w:szCs w:val="21"/>
        </w:rPr>
      </w:pPr>
      <w:r>
        <w:rPr>
          <w:rFonts w:hint="eastAsia" w:ascii="宋体" w:hAnsi="宋体" w:cs="宋体"/>
          <w:color w:val="000000"/>
          <w:sz w:val="21"/>
          <w:szCs w:val="21"/>
        </w:rPr>
        <w:t>2.中标人应该在中标通知书规定的时间、地点与招标人签订采购合同，否则按照开标后撤回投标处理。</w:t>
      </w:r>
    </w:p>
    <w:p w14:paraId="247515F9">
      <w:pPr>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rPr>
          <w:rFonts w:ascii="宋体" w:hAnsi="宋体" w:cs="宋体"/>
          <w:color w:val="000000"/>
          <w:sz w:val="21"/>
          <w:szCs w:val="21"/>
        </w:rPr>
      </w:pPr>
      <w:r>
        <w:rPr>
          <w:rFonts w:hint="eastAsia" w:ascii="宋体" w:hAnsi="宋体" w:cs="宋体"/>
          <w:color w:val="000000"/>
          <w:sz w:val="21"/>
          <w:szCs w:val="21"/>
        </w:rPr>
        <w:t>3.中标人应当按照合同约定的履约责任，在保证质量的前提下完成中标项目，不得将中标项目转包或分包给他人，否则视为违约，招标人有权解除合同。</w:t>
      </w:r>
    </w:p>
    <w:p w14:paraId="71A3F1F6">
      <w:pPr>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rPr>
          <w:rFonts w:ascii="宋体" w:hAnsi="宋体" w:cs="宋体"/>
          <w:b/>
          <w:sz w:val="21"/>
          <w:szCs w:val="21"/>
        </w:rPr>
      </w:pPr>
      <w:r>
        <w:rPr>
          <w:rFonts w:hint="eastAsia" w:ascii="宋体" w:hAnsi="宋体" w:cs="宋体"/>
          <w:b/>
          <w:sz w:val="21"/>
          <w:szCs w:val="21"/>
        </w:rPr>
        <w:t>4.中标人由于履行义务的能力或信用有严重缺陷，招标人有权取消其中标资格，招标人将从中标候选单位中依序重新确定中标人，或重新组织招标；</w:t>
      </w:r>
    </w:p>
    <w:p w14:paraId="4B1A7D9C">
      <w:pPr>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宋体" w:hAnsi="宋体" w:eastAsia="宋体" w:cs="宋体"/>
          <w:color w:val="000000"/>
          <w:sz w:val="21"/>
          <w:szCs w:val="21"/>
          <w:highlight w:val="none"/>
        </w:rPr>
      </w:pPr>
      <w:r>
        <w:rPr>
          <w:rFonts w:hint="eastAsia" w:ascii="宋体" w:hAnsi="宋体" w:cs="宋体"/>
          <w:b/>
          <w:sz w:val="21"/>
          <w:szCs w:val="21"/>
        </w:rPr>
        <w:t>5.合同以双方最终签署的版本为准。</w:t>
      </w:r>
    </w:p>
    <w:p w14:paraId="25D9085F">
      <w:pPr>
        <w:pStyle w:val="72"/>
        <w:rPr>
          <w:rFonts w:hint="eastAsia" w:ascii="宋体" w:hAnsi="宋体" w:eastAsia="宋体" w:cs="宋体"/>
          <w:color w:val="000000"/>
          <w:sz w:val="24"/>
          <w:szCs w:val="24"/>
        </w:rPr>
      </w:pPr>
      <w:r>
        <w:rPr>
          <w:rFonts w:hint="eastAsia"/>
          <w:highlight w:val="yellow"/>
          <w:lang w:val="en-US" w:eastAsia="zh-CN"/>
        </w:rPr>
        <w:t>交货及付款</w:t>
      </w:r>
    </w:p>
    <w:p w14:paraId="44586E7B">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lang w:val="en-US" w:eastAsia="zh-CN"/>
        </w:rPr>
      </w:pPr>
      <w:r>
        <w:rPr>
          <w:rFonts w:hint="eastAsia" w:ascii="Times New Roman" w:hAnsi="Times New Roman"/>
          <w:color w:val="000000"/>
          <w:sz w:val="24"/>
          <w:szCs w:val="24"/>
          <w:highlight w:val="none"/>
        </w:rPr>
        <w:t>1</w:t>
      </w:r>
      <w:r>
        <w:rPr>
          <w:rFonts w:hint="eastAsia"/>
          <w:color w:val="000000"/>
          <w:sz w:val="24"/>
          <w:szCs w:val="24"/>
          <w:highlight w:val="none"/>
        </w:rPr>
        <w:t>、交货期：</w:t>
      </w:r>
      <w:r>
        <w:rPr>
          <w:rFonts w:hint="eastAsia" w:ascii="宋体" w:hAnsi="宋体" w:eastAsia="宋体" w:cs="宋体"/>
          <w:sz w:val="24"/>
          <w:szCs w:val="24"/>
          <w:u w:val="single"/>
          <w:lang w:val="en-US" w:eastAsia="zh-CN"/>
        </w:rPr>
        <w:t>工装下线后</w:t>
      </w:r>
      <w:r>
        <w:rPr>
          <w:rFonts w:hint="eastAsia" w:ascii="宋体" w:hAnsi="宋体" w:cs="宋体"/>
          <w:sz w:val="24"/>
          <w:szCs w:val="24"/>
          <w:highlight w:val="yellow"/>
          <w:u w:val="single"/>
          <w:lang w:val="en-US" w:eastAsia="zh-CN"/>
        </w:rPr>
        <w:t>20</w:t>
      </w:r>
      <w:r>
        <w:rPr>
          <w:rFonts w:hint="eastAsia" w:ascii="宋体" w:hAnsi="宋体" w:eastAsia="宋体" w:cs="宋体"/>
          <w:sz w:val="24"/>
          <w:szCs w:val="24"/>
          <w:highlight w:val="yellow"/>
          <w:u w:val="single"/>
          <w:lang w:val="en-US" w:eastAsia="zh-CN"/>
        </w:rPr>
        <w:t>天</w:t>
      </w:r>
      <w:r>
        <w:rPr>
          <w:rFonts w:hint="eastAsia" w:ascii="宋体" w:hAnsi="宋体" w:cs="宋体"/>
          <w:sz w:val="24"/>
          <w:szCs w:val="24"/>
          <w:u w:val="single"/>
          <w:lang w:val="en-US" w:eastAsia="zh-CN"/>
        </w:rPr>
        <w:t>（根据产品及下线时间依次修改）</w:t>
      </w:r>
      <w:r>
        <w:rPr>
          <w:rFonts w:hint="eastAsia" w:ascii="宋体" w:hAnsi="宋体" w:eastAsia="宋体" w:cs="宋体"/>
          <w:sz w:val="24"/>
          <w:szCs w:val="24"/>
          <w:lang w:val="en-US" w:eastAsia="zh-CN"/>
        </w:rPr>
        <w:t>。</w:t>
      </w:r>
    </w:p>
    <w:p w14:paraId="580078B2">
      <w:pPr>
        <w:pStyle w:val="15"/>
        <w:spacing w:line="360" w:lineRule="auto"/>
        <w:ind w:left="479" w:leftChars="228" w:firstLine="0" w:firstLineChars="0"/>
        <w:rPr>
          <w:rFonts w:hint="eastAsia"/>
          <w:color w:val="000000"/>
          <w:sz w:val="24"/>
          <w:szCs w:val="24"/>
        </w:rPr>
      </w:pPr>
      <w:r>
        <w:rPr>
          <w:rFonts w:hint="eastAsia" w:ascii="Times New Roman" w:hAnsi="Times New Roman"/>
          <w:color w:val="000000"/>
          <w:sz w:val="24"/>
          <w:szCs w:val="24"/>
        </w:rPr>
        <w:t>2</w:t>
      </w:r>
      <w:r>
        <w:rPr>
          <w:rFonts w:hint="eastAsia"/>
          <w:color w:val="000000"/>
          <w:sz w:val="24"/>
          <w:szCs w:val="24"/>
        </w:rPr>
        <w:t>、交货地点：济南市章丘区世纪大道6677号济南成型厂</w:t>
      </w:r>
    </w:p>
    <w:p w14:paraId="7EFD0B17">
      <w:pPr>
        <w:pStyle w:val="15"/>
        <w:spacing w:line="360" w:lineRule="auto"/>
        <w:ind w:firstLine="480" w:firstLineChars="200"/>
        <w:rPr>
          <w:rFonts w:hint="eastAsia"/>
          <w:color w:val="000000"/>
          <w:sz w:val="24"/>
          <w:szCs w:val="24"/>
        </w:rPr>
      </w:pPr>
      <w:r>
        <w:rPr>
          <w:rFonts w:hint="eastAsia" w:ascii="Times New Roman" w:hAnsi="Times New Roman"/>
          <w:color w:val="000000"/>
          <w:sz w:val="24"/>
          <w:szCs w:val="24"/>
        </w:rPr>
        <w:t>3</w:t>
      </w:r>
      <w:r>
        <w:rPr>
          <w:rFonts w:hint="eastAsia"/>
          <w:color w:val="000000"/>
          <w:sz w:val="24"/>
          <w:szCs w:val="24"/>
        </w:rPr>
        <w:t>、交货方式： 送货至济南成型厂并安全落地</w:t>
      </w:r>
    </w:p>
    <w:p w14:paraId="6C247E6E">
      <w:pPr>
        <w:spacing w:line="360" w:lineRule="auto"/>
        <w:rPr>
          <w:rFonts w:hint="eastAsia" w:ascii="宋体" w:hAnsi="宋体" w:eastAsia="宋体" w:cs="宋体"/>
          <w:color w:val="000000"/>
          <w:sz w:val="24"/>
          <w:szCs w:val="24"/>
          <w:highlight w:val="yellow"/>
          <w:lang w:val="en-US" w:eastAsia="zh-CN"/>
        </w:rPr>
      </w:pPr>
      <w:r>
        <w:rPr>
          <w:rFonts w:hint="eastAsia" w:ascii="宋体" w:hAnsi="宋体" w:eastAsia="宋体" w:cs="宋体"/>
          <w:color w:val="000000"/>
          <w:sz w:val="24"/>
          <w:szCs w:val="24"/>
          <w:highlight w:val="yellow"/>
          <w:lang w:val="en-US" w:eastAsia="zh-CN"/>
        </w:rPr>
        <w:t>付款方式：</w:t>
      </w:r>
    </w:p>
    <w:p w14:paraId="3C744A8B">
      <w:pPr>
        <w:spacing w:line="360" w:lineRule="auto"/>
        <w:ind w:firstLine="480" w:firstLineChars="200"/>
        <w:rPr>
          <w:rFonts w:hint="default" w:ascii="宋体" w:hAnsi="宋体" w:eastAsia="宋体"/>
          <w:szCs w:val="21"/>
          <w:lang w:val="en-US" w:eastAsia="zh-CN"/>
        </w:rPr>
      </w:pPr>
      <w:r>
        <w:rPr>
          <w:rFonts w:hint="eastAsia" w:ascii="宋体" w:hAnsi="宋体" w:eastAsia="宋体" w:cs="宋体"/>
          <w:color w:val="000000"/>
          <w:sz w:val="24"/>
          <w:szCs w:val="24"/>
        </w:rPr>
        <w:t>采用发票挂账90天，半年期商业汇票（商业汇票包括银行承兑汇票和商业承兑汇票）付款。</w:t>
      </w:r>
      <w:r>
        <w:rPr>
          <w:rFonts w:hint="eastAsia" w:ascii="宋体" w:hAnsi="宋体" w:eastAsia="宋体" w:cs="宋体"/>
          <w:color w:val="auto"/>
          <w:sz w:val="24"/>
          <w:szCs w:val="24"/>
        </w:rPr>
        <w:t>定做方不付预付款，产品检验合格后，承揽方全额开具税率13%的增值税专用发票，定做方依据《模具检验单》进行挂账。挂帐90天，定做方财务流程审核通过后以半年期商业汇票付款95%，定做方扣除货款总额的5%作为质量保证金，在质保期满无质量问题后无息返还。</w:t>
      </w:r>
    </w:p>
    <w:p w14:paraId="0ED4C18D">
      <w:pPr>
        <w:pStyle w:val="15"/>
        <w:rPr>
          <w:rFonts w:hint="eastAsia" w:ascii="仿宋" w:hAnsi="仿宋" w:eastAsia="仿宋" w:cs="仿宋"/>
        </w:rPr>
      </w:pPr>
    </w:p>
    <w:p w14:paraId="7AAEB049">
      <w:pPr>
        <w:pStyle w:val="15"/>
        <w:rPr>
          <w:rFonts w:hint="eastAsia" w:ascii="仿宋" w:hAnsi="仿宋" w:eastAsia="仿宋" w:cs="仿宋"/>
        </w:rPr>
      </w:pPr>
    </w:p>
    <w:p w14:paraId="1691FC00">
      <w:pPr>
        <w:pStyle w:val="15"/>
        <w:rPr>
          <w:rFonts w:hint="eastAsia" w:ascii="仿宋" w:hAnsi="仿宋" w:eastAsia="仿宋" w:cs="仿宋"/>
        </w:rPr>
      </w:pPr>
    </w:p>
    <w:p w14:paraId="68D952D6">
      <w:pPr>
        <w:pStyle w:val="15"/>
        <w:spacing w:line="440" w:lineRule="exact"/>
        <w:ind w:firstLine="3960" w:firstLineChars="900"/>
        <w:jc w:val="both"/>
        <w:rPr>
          <w:rFonts w:hint="eastAsia" w:ascii="Times New Roman" w:hAnsi="Times New Roman"/>
          <w:color w:val="000000"/>
          <w:sz w:val="44"/>
          <w:szCs w:val="44"/>
          <w:lang w:val="en-US" w:eastAsia="zh-CN"/>
        </w:rPr>
      </w:pPr>
    </w:p>
    <w:p w14:paraId="007F069B">
      <w:pPr>
        <w:pStyle w:val="15"/>
        <w:spacing w:line="440" w:lineRule="exact"/>
        <w:ind w:firstLine="3960" w:firstLineChars="900"/>
        <w:jc w:val="both"/>
        <w:rPr>
          <w:rFonts w:hint="eastAsia" w:ascii="Times New Roman" w:hAnsi="Times New Roman"/>
          <w:color w:val="000000"/>
          <w:sz w:val="44"/>
          <w:szCs w:val="44"/>
          <w:lang w:val="en-US" w:eastAsia="zh-CN"/>
        </w:rPr>
      </w:pPr>
    </w:p>
    <w:p w14:paraId="726DDAA4">
      <w:pPr>
        <w:pStyle w:val="15"/>
        <w:spacing w:line="440" w:lineRule="exact"/>
        <w:ind w:firstLine="3960" w:firstLineChars="900"/>
        <w:jc w:val="both"/>
        <w:rPr>
          <w:rFonts w:hint="eastAsia" w:ascii="Times New Roman" w:hAnsi="Times New Roman"/>
          <w:color w:val="000000"/>
          <w:sz w:val="44"/>
          <w:szCs w:val="44"/>
          <w:lang w:val="en-US" w:eastAsia="zh-CN"/>
        </w:rPr>
      </w:pPr>
    </w:p>
    <w:p w14:paraId="5B92DED5">
      <w:pPr>
        <w:pStyle w:val="15"/>
        <w:spacing w:line="440" w:lineRule="exact"/>
        <w:ind w:firstLine="3960" w:firstLineChars="900"/>
        <w:jc w:val="both"/>
        <w:rPr>
          <w:rFonts w:hint="eastAsia" w:ascii="Times New Roman" w:hAnsi="Times New Roman"/>
          <w:color w:val="000000"/>
          <w:sz w:val="44"/>
          <w:szCs w:val="44"/>
          <w:lang w:val="en-US" w:eastAsia="zh-CN"/>
        </w:rPr>
      </w:pPr>
    </w:p>
    <w:p w14:paraId="435BCB0A">
      <w:pPr>
        <w:pStyle w:val="15"/>
        <w:spacing w:line="440" w:lineRule="exact"/>
        <w:ind w:firstLine="3960" w:firstLineChars="900"/>
        <w:jc w:val="both"/>
        <w:rPr>
          <w:rFonts w:hint="eastAsia" w:ascii="Times New Roman" w:hAnsi="Times New Roman"/>
          <w:color w:val="000000"/>
          <w:sz w:val="44"/>
          <w:szCs w:val="44"/>
          <w:lang w:val="en-US" w:eastAsia="zh-CN"/>
        </w:rPr>
      </w:pPr>
    </w:p>
    <w:p w14:paraId="552E964F">
      <w:pPr>
        <w:pStyle w:val="15"/>
        <w:spacing w:line="440" w:lineRule="exact"/>
        <w:ind w:firstLine="3960" w:firstLineChars="900"/>
        <w:jc w:val="both"/>
        <w:rPr>
          <w:rFonts w:hint="eastAsia" w:ascii="Times New Roman" w:hAnsi="Times New Roman"/>
          <w:color w:val="000000"/>
          <w:sz w:val="44"/>
          <w:szCs w:val="44"/>
          <w:lang w:val="en-US" w:eastAsia="zh-CN"/>
        </w:rPr>
      </w:pPr>
    </w:p>
    <w:p w14:paraId="22848DA6">
      <w:pPr>
        <w:pStyle w:val="15"/>
        <w:spacing w:line="440" w:lineRule="exact"/>
        <w:ind w:firstLine="3960" w:firstLineChars="900"/>
        <w:jc w:val="both"/>
        <w:rPr>
          <w:rFonts w:hint="eastAsia" w:ascii="Times New Roman" w:hAnsi="Times New Roman"/>
          <w:color w:val="000000"/>
          <w:sz w:val="44"/>
          <w:szCs w:val="44"/>
          <w:lang w:val="en-US" w:eastAsia="zh-CN"/>
        </w:rPr>
      </w:pPr>
    </w:p>
    <w:p w14:paraId="10A3DB5B">
      <w:pPr>
        <w:pStyle w:val="15"/>
        <w:spacing w:line="440" w:lineRule="exact"/>
        <w:ind w:firstLine="3960" w:firstLineChars="900"/>
        <w:jc w:val="both"/>
        <w:rPr>
          <w:rFonts w:hint="eastAsia" w:ascii="Times New Roman" w:hAnsi="Times New Roman"/>
          <w:color w:val="000000"/>
          <w:sz w:val="44"/>
          <w:szCs w:val="44"/>
          <w:lang w:val="en-US" w:eastAsia="zh-CN"/>
        </w:rPr>
      </w:pPr>
    </w:p>
    <w:p w14:paraId="0B117553">
      <w:pPr>
        <w:pStyle w:val="15"/>
        <w:spacing w:line="440" w:lineRule="exact"/>
        <w:ind w:firstLine="3960" w:firstLineChars="900"/>
        <w:jc w:val="both"/>
        <w:rPr>
          <w:rFonts w:hint="eastAsia" w:ascii="Times New Roman" w:hAnsi="Times New Roman"/>
          <w:color w:val="000000"/>
          <w:sz w:val="44"/>
          <w:szCs w:val="44"/>
          <w:lang w:val="en-US" w:eastAsia="zh-CN"/>
        </w:rPr>
      </w:pPr>
    </w:p>
    <w:p w14:paraId="067FB7DE">
      <w:pPr>
        <w:pStyle w:val="15"/>
        <w:spacing w:line="440" w:lineRule="exact"/>
        <w:ind w:firstLine="3960" w:firstLineChars="900"/>
        <w:jc w:val="both"/>
        <w:rPr>
          <w:rFonts w:hint="eastAsia" w:ascii="Times New Roman" w:hAnsi="Times New Roman"/>
          <w:color w:val="000000"/>
          <w:sz w:val="44"/>
          <w:szCs w:val="44"/>
          <w:lang w:val="en-US" w:eastAsia="zh-CN"/>
        </w:rPr>
      </w:pPr>
    </w:p>
    <w:p w14:paraId="740D84A3">
      <w:pPr>
        <w:pStyle w:val="15"/>
        <w:spacing w:line="440" w:lineRule="exact"/>
        <w:ind w:firstLine="3960" w:firstLineChars="900"/>
        <w:jc w:val="both"/>
        <w:rPr>
          <w:rFonts w:hint="eastAsia" w:ascii="Times New Roman" w:hAnsi="Times New Roman"/>
          <w:color w:val="000000"/>
          <w:sz w:val="44"/>
          <w:szCs w:val="44"/>
          <w:lang w:val="en-US" w:eastAsia="zh-CN"/>
        </w:rPr>
      </w:pPr>
    </w:p>
    <w:p w14:paraId="065596DF">
      <w:pPr>
        <w:pStyle w:val="15"/>
        <w:spacing w:line="440" w:lineRule="exact"/>
        <w:ind w:firstLine="3960" w:firstLineChars="900"/>
        <w:jc w:val="both"/>
        <w:rPr>
          <w:rFonts w:hint="eastAsia" w:ascii="Times New Roman" w:hAnsi="Times New Roman"/>
          <w:color w:val="000000"/>
          <w:sz w:val="44"/>
          <w:szCs w:val="44"/>
          <w:lang w:val="en-US" w:eastAsia="zh-CN"/>
        </w:rPr>
      </w:pPr>
    </w:p>
    <w:p w14:paraId="3D5342C9">
      <w:pPr>
        <w:pStyle w:val="15"/>
        <w:keepNext w:val="0"/>
        <w:keepLines w:val="0"/>
        <w:pageBreakBefore w:val="0"/>
        <w:widowControl w:val="0"/>
        <w:kinsoku/>
        <w:wordWrap/>
        <w:overflowPunct/>
        <w:topLinePunct w:val="0"/>
        <w:autoSpaceDE/>
        <w:autoSpaceDN/>
        <w:bidi w:val="0"/>
        <w:adjustRightInd/>
        <w:snapToGrid/>
        <w:spacing w:line="440" w:lineRule="exact"/>
        <w:ind w:firstLine="0" w:firstLineChars="0"/>
        <w:jc w:val="center"/>
        <w:textAlignment w:val="auto"/>
        <w:rPr>
          <w:rFonts w:hint="eastAsia" w:ascii="Times New Roman" w:hAnsi="Times New Roman"/>
          <w:color w:val="000000"/>
          <w:sz w:val="44"/>
          <w:szCs w:val="44"/>
          <w:lang w:val="en-US" w:eastAsia="zh-CN"/>
        </w:rPr>
      </w:pPr>
      <w:r>
        <w:rPr>
          <w:rFonts w:hint="eastAsia" w:ascii="Times New Roman" w:hAnsi="Times New Roman"/>
          <w:color w:val="000000"/>
          <w:sz w:val="44"/>
          <w:szCs w:val="44"/>
          <w:lang w:val="en-US" w:eastAsia="zh-CN"/>
        </w:rPr>
        <w:t>技术标文件</w:t>
      </w:r>
    </w:p>
    <w:p w14:paraId="111CA7B8">
      <w:pPr>
        <w:pStyle w:val="15"/>
        <w:spacing w:line="440" w:lineRule="exact"/>
        <w:ind w:firstLine="480" w:firstLineChars="200"/>
        <w:rPr>
          <w:rFonts w:hint="eastAsia" w:ascii="Times New Roman" w:hAnsi="Times New Roman"/>
          <w:color w:val="000000"/>
          <w:sz w:val="24"/>
          <w:szCs w:val="24"/>
        </w:rPr>
      </w:pPr>
    </w:p>
    <w:p w14:paraId="2178579C">
      <w:pPr>
        <w:spacing w:line="360" w:lineRule="auto"/>
        <w:ind w:firstLine="562" w:firstLineChars="200"/>
        <w:rPr>
          <w:rFonts w:hint="default" w:ascii="黑体" w:hAnsi="Courier New" w:eastAsia="宋体"/>
          <w:b/>
          <w:bCs/>
          <w:sz w:val="28"/>
          <w:szCs w:val="28"/>
          <w:lang w:val="en-US" w:eastAsia="zh-CN"/>
        </w:rPr>
      </w:pPr>
      <w:r>
        <w:rPr>
          <w:rFonts w:hint="eastAsia"/>
          <w:b/>
          <w:bCs/>
          <w:sz w:val="28"/>
          <w:szCs w:val="28"/>
        </w:rPr>
        <w:t>一、项目名称</w:t>
      </w:r>
      <w:r>
        <w:rPr>
          <w:rFonts w:hint="eastAsia"/>
          <w:b/>
          <w:bCs/>
          <w:sz w:val="28"/>
          <w:szCs w:val="28"/>
          <w:lang w:val="en-US" w:eastAsia="zh-CN"/>
        </w:rPr>
        <w:t>编号及发标方</w:t>
      </w:r>
    </w:p>
    <w:p w14:paraId="7C236C99">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000000"/>
          <w:sz w:val="24"/>
          <w:szCs w:val="24"/>
          <w:lang w:val="en-US" w:eastAsia="zh-CN"/>
        </w:rPr>
      </w:pPr>
      <w:r>
        <w:rPr>
          <w:rFonts w:hint="eastAsia"/>
          <w:color w:val="000000"/>
          <w:sz w:val="24"/>
          <w:szCs w:val="24"/>
        </w:rPr>
        <w:t>项目名称：</w:t>
      </w:r>
      <w:r>
        <w:rPr>
          <w:rFonts w:hint="eastAsia"/>
          <w:color w:val="000000"/>
          <w:sz w:val="24"/>
          <w:szCs w:val="24"/>
          <w:highlight w:val="yellow"/>
          <w:lang w:eastAsia="zh-CN"/>
        </w:rPr>
        <w:t>济南成型厂3906缸体工装修改项目</w:t>
      </w:r>
    </w:p>
    <w:p w14:paraId="476A7E27">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color w:val="000000"/>
          <w:sz w:val="24"/>
          <w:szCs w:val="24"/>
        </w:rPr>
      </w:pPr>
      <w:r>
        <w:rPr>
          <w:rFonts w:hint="eastAsia"/>
          <w:color w:val="000000"/>
          <w:sz w:val="24"/>
          <w:szCs w:val="24"/>
          <w:lang w:val="en-US" w:eastAsia="zh-CN"/>
        </w:rPr>
        <w:t>发标方：</w:t>
      </w:r>
      <w:r>
        <w:rPr>
          <w:rFonts w:hint="eastAsia" w:ascii="宋体" w:hAnsi="宋体"/>
          <w:color w:val="000000"/>
          <w:sz w:val="24"/>
          <w:szCs w:val="24"/>
        </w:rPr>
        <w:t>中国重汽集团济南动力有限公司成型厂</w:t>
      </w:r>
    </w:p>
    <w:p w14:paraId="1B0318EC">
      <w:pPr>
        <w:numPr>
          <w:ilvl w:val="0"/>
          <w:numId w:val="25"/>
        </w:numPr>
        <w:ind w:firstLine="562" w:firstLineChars="200"/>
        <w:rPr>
          <w:rFonts w:hint="eastAsia"/>
          <w:b/>
          <w:bCs/>
          <w:sz w:val="28"/>
          <w:szCs w:val="28"/>
        </w:rPr>
      </w:pPr>
      <w:r>
        <w:rPr>
          <w:rFonts w:hint="eastAsia"/>
          <w:b/>
          <w:bCs/>
          <w:sz w:val="28"/>
          <w:szCs w:val="28"/>
        </w:rPr>
        <w:t>招标内容</w:t>
      </w:r>
      <w:r>
        <w:rPr>
          <w:rFonts w:hint="eastAsia"/>
          <w:b/>
          <w:bCs/>
          <w:sz w:val="28"/>
          <w:szCs w:val="28"/>
          <w:lang w:val="en-US" w:eastAsia="zh-CN"/>
        </w:rPr>
        <w:t>及</w:t>
      </w:r>
      <w:r>
        <w:rPr>
          <w:rFonts w:hint="eastAsia"/>
          <w:b/>
          <w:bCs/>
          <w:sz w:val="28"/>
          <w:szCs w:val="28"/>
        </w:rPr>
        <w:t>形式</w:t>
      </w:r>
    </w:p>
    <w:p w14:paraId="6273D6BE">
      <w:pPr>
        <w:numPr>
          <w:ilvl w:val="0"/>
          <w:numId w:val="26"/>
        </w:numPr>
        <w:spacing w:line="360" w:lineRule="auto"/>
        <w:ind w:left="560" w:leftChars="0" w:firstLine="0" w:firstLineChars="0"/>
        <w:rPr>
          <w:rFonts w:hint="eastAsia"/>
          <w:highlight w:val="yellow"/>
        </w:rPr>
      </w:pPr>
      <w:r>
        <w:rPr>
          <w:rFonts w:hint="eastAsia"/>
          <w:b w:val="0"/>
          <w:bCs w:val="0"/>
          <w:sz w:val="24"/>
          <w:szCs w:val="24"/>
          <w:lang w:val="en-US" w:eastAsia="zh-CN"/>
        </w:rPr>
        <w:t>招标内容:</w:t>
      </w:r>
    </w:p>
    <w:p w14:paraId="6A646F79">
      <w:pPr>
        <w:keepNext w:val="0"/>
        <w:keepLines w:val="0"/>
        <w:widowControl/>
        <w:suppressLineNumbers w:val="0"/>
        <w:jc w:val="left"/>
        <w:rPr>
          <w:rFonts w:hint="eastAsia" w:eastAsia="宋体"/>
          <w:b w:val="0"/>
          <w:bCs/>
          <w:lang w:eastAsia="zh-CN"/>
        </w:rPr>
      </w:pPr>
      <w:r>
        <w:rPr>
          <w:rFonts w:hint="eastAsia"/>
          <w:b w:val="0"/>
          <w:bCs/>
          <w:lang w:eastAsia="zh-CN"/>
        </w:rPr>
        <w:t>济南成型厂3906缸体工装修改项目</w:t>
      </w:r>
      <w:r>
        <w:rPr>
          <w:rFonts w:hint="eastAsia"/>
          <w:b w:val="0"/>
          <w:bCs/>
        </w:rPr>
        <w:t>项目，</w:t>
      </w:r>
      <w:r>
        <w:rPr>
          <w:rFonts w:hint="eastAsia"/>
          <w:b w:val="0"/>
          <w:bCs/>
          <w:lang w:eastAsia="zh-CN"/>
        </w:rPr>
        <w:t>在 202-01101-3906 缸体上下箱面增减圆凸台。202-01101-3906 缸体上下模样工装，共需修改工装</w:t>
      </w:r>
      <w:r>
        <w:rPr>
          <w:rFonts w:hint="eastAsia"/>
          <w:b w:val="0"/>
          <w:bCs/>
          <w:lang w:val="en-US" w:eastAsia="zh-CN"/>
        </w:rPr>
        <w:t>2</w:t>
      </w:r>
      <w:r>
        <w:rPr>
          <w:rFonts w:hint="eastAsia"/>
          <w:b w:val="0"/>
          <w:bCs/>
          <w:lang w:eastAsia="zh-CN"/>
        </w:rPr>
        <w:t>套。</w:t>
      </w:r>
      <w:r>
        <w:rPr>
          <w:rFonts w:hint="eastAsia"/>
          <w:b w:val="0"/>
          <w:bCs/>
          <w:lang w:eastAsia="zh-CN"/>
        </w:rPr>
        <w:br w:type="textWrapping"/>
      </w:r>
    </w:p>
    <w:tbl>
      <w:tblPr>
        <w:tblStyle w:val="116"/>
        <w:tblW w:w="5014" w:type="pct"/>
        <w:tblInd w:w="0"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autofit"/>
        <w:tblCellMar>
          <w:top w:w="0" w:type="dxa"/>
          <w:left w:w="0" w:type="dxa"/>
          <w:bottom w:w="0" w:type="dxa"/>
          <w:right w:w="0" w:type="dxa"/>
        </w:tblCellMar>
      </w:tblPr>
      <w:tblGrid>
        <w:gridCol w:w="886"/>
        <w:gridCol w:w="1840"/>
        <w:gridCol w:w="1229"/>
        <w:gridCol w:w="1048"/>
        <w:gridCol w:w="1223"/>
        <w:gridCol w:w="2885"/>
      </w:tblGrid>
      <w:tr w14:paraId="47467801">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844" w:hRule="atLeast"/>
        </w:trPr>
        <w:tc>
          <w:tcPr>
            <w:tcW w:w="486" w:type="pct"/>
            <w:vAlign w:val="center"/>
          </w:tcPr>
          <w:p w14:paraId="3BE9DD37">
            <w:pPr>
              <w:keepNext w:val="0"/>
              <w:keepLines w:val="0"/>
              <w:widowControl/>
              <w:suppressLineNumbers w:val="0"/>
              <w:jc w:val="center"/>
              <w:rPr>
                <w:rFonts w:hint="default" w:ascii="Times New Roman" w:hAnsi="Times New Roman" w:eastAsia="宋体" w:cs="Times New Roman"/>
                <w:b w:val="0"/>
                <w:bCs/>
                <w:kern w:val="2"/>
                <w:sz w:val="21"/>
                <w:szCs w:val="20"/>
                <w:lang w:val="en-US" w:eastAsia="zh-CN" w:bidi="ar-SA"/>
              </w:rPr>
            </w:pPr>
            <w:r>
              <w:rPr>
                <w:rFonts w:hint="eastAsia" w:cs="Times New Roman"/>
                <w:b w:val="0"/>
                <w:bCs/>
                <w:kern w:val="2"/>
                <w:sz w:val="21"/>
                <w:szCs w:val="20"/>
                <w:lang w:val="en-US" w:eastAsia="zh-CN" w:bidi="ar-SA"/>
              </w:rPr>
              <w:t>序号</w:t>
            </w:r>
          </w:p>
        </w:tc>
        <w:tc>
          <w:tcPr>
            <w:tcW w:w="1009" w:type="pct"/>
            <w:vAlign w:val="center"/>
          </w:tcPr>
          <w:p w14:paraId="1A7AD47D">
            <w:pPr>
              <w:keepNext w:val="0"/>
              <w:keepLines w:val="0"/>
              <w:widowControl/>
              <w:suppressLineNumbers w:val="0"/>
              <w:jc w:val="center"/>
              <w:rPr>
                <w:rFonts w:hint="default" w:ascii="Times New Roman" w:hAnsi="Times New Roman" w:eastAsia="宋体" w:cs="Times New Roman"/>
                <w:b w:val="0"/>
                <w:bCs/>
                <w:kern w:val="2"/>
                <w:sz w:val="21"/>
                <w:szCs w:val="20"/>
                <w:lang w:val="en-US" w:eastAsia="zh-CN" w:bidi="ar-SA"/>
              </w:rPr>
            </w:pPr>
            <w:r>
              <w:rPr>
                <w:rFonts w:hint="eastAsia" w:cs="Times New Roman"/>
                <w:b w:val="0"/>
                <w:bCs/>
                <w:kern w:val="2"/>
                <w:sz w:val="21"/>
                <w:szCs w:val="20"/>
                <w:lang w:val="en-US" w:eastAsia="zh-CN" w:bidi="ar-SA"/>
              </w:rPr>
              <w:t>产品编号及名称</w:t>
            </w:r>
          </w:p>
        </w:tc>
        <w:tc>
          <w:tcPr>
            <w:tcW w:w="674" w:type="pct"/>
            <w:vAlign w:val="center"/>
          </w:tcPr>
          <w:p w14:paraId="29D9957C">
            <w:pPr>
              <w:keepNext w:val="0"/>
              <w:keepLines w:val="0"/>
              <w:widowControl/>
              <w:suppressLineNumbers w:val="0"/>
              <w:jc w:val="center"/>
              <w:rPr>
                <w:rFonts w:hint="default" w:ascii="Times New Roman" w:hAnsi="Times New Roman" w:eastAsia="宋体" w:cs="Times New Roman"/>
                <w:b w:val="0"/>
                <w:bCs/>
                <w:kern w:val="2"/>
                <w:sz w:val="21"/>
                <w:szCs w:val="20"/>
                <w:lang w:val="en-US" w:eastAsia="zh-CN" w:bidi="ar-SA"/>
              </w:rPr>
            </w:pPr>
            <w:r>
              <w:rPr>
                <w:rFonts w:hint="eastAsia" w:cs="Times New Roman"/>
                <w:b w:val="0"/>
                <w:bCs/>
                <w:kern w:val="2"/>
                <w:sz w:val="21"/>
                <w:szCs w:val="20"/>
                <w:lang w:val="en-US" w:eastAsia="zh-CN" w:bidi="ar-SA"/>
              </w:rPr>
              <w:t>工装名称</w:t>
            </w:r>
          </w:p>
        </w:tc>
        <w:tc>
          <w:tcPr>
            <w:tcW w:w="575" w:type="pct"/>
            <w:vAlign w:val="center"/>
          </w:tcPr>
          <w:p w14:paraId="2C07C42C">
            <w:pPr>
              <w:keepNext w:val="0"/>
              <w:keepLines w:val="0"/>
              <w:widowControl/>
              <w:suppressLineNumbers w:val="0"/>
              <w:jc w:val="center"/>
              <w:rPr>
                <w:rFonts w:hint="default" w:ascii="Times New Roman" w:hAnsi="Times New Roman" w:eastAsia="宋体" w:cs="Times New Roman"/>
                <w:b w:val="0"/>
                <w:bCs/>
                <w:kern w:val="2"/>
                <w:sz w:val="21"/>
                <w:szCs w:val="20"/>
                <w:lang w:val="en-US" w:eastAsia="zh-CN" w:bidi="ar-SA"/>
              </w:rPr>
            </w:pPr>
            <w:r>
              <w:rPr>
                <w:rFonts w:hint="eastAsia" w:cs="Times New Roman"/>
                <w:b w:val="0"/>
                <w:bCs/>
                <w:kern w:val="2"/>
                <w:sz w:val="21"/>
                <w:szCs w:val="20"/>
                <w:lang w:val="en-US" w:eastAsia="zh-CN" w:bidi="ar-SA"/>
              </w:rPr>
              <w:t>数量</w:t>
            </w:r>
          </w:p>
        </w:tc>
        <w:tc>
          <w:tcPr>
            <w:tcW w:w="671" w:type="pct"/>
            <w:vAlign w:val="center"/>
          </w:tcPr>
          <w:p w14:paraId="3A9CC4E0">
            <w:pPr>
              <w:keepNext w:val="0"/>
              <w:keepLines w:val="0"/>
              <w:widowControl/>
              <w:suppressLineNumbers w:val="0"/>
              <w:jc w:val="center"/>
              <w:rPr>
                <w:rFonts w:hint="default" w:cs="Times New Roman"/>
                <w:b w:val="0"/>
                <w:bCs/>
                <w:kern w:val="2"/>
                <w:sz w:val="21"/>
                <w:szCs w:val="20"/>
                <w:lang w:val="en-US" w:eastAsia="zh-CN" w:bidi="ar-SA"/>
              </w:rPr>
            </w:pPr>
            <w:r>
              <w:rPr>
                <w:rFonts w:hint="eastAsia" w:cs="Times New Roman"/>
                <w:b w:val="0"/>
                <w:bCs/>
                <w:kern w:val="2"/>
                <w:sz w:val="21"/>
                <w:szCs w:val="20"/>
                <w:lang w:val="en-US" w:eastAsia="zh-CN" w:bidi="ar-SA"/>
              </w:rPr>
              <w:t>单位</w:t>
            </w:r>
          </w:p>
        </w:tc>
        <w:tc>
          <w:tcPr>
            <w:tcW w:w="1582" w:type="pct"/>
            <w:tcBorders>
              <w:bottom w:val="nil"/>
            </w:tcBorders>
            <w:vAlign w:val="center"/>
          </w:tcPr>
          <w:p w14:paraId="23D41D6F">
            <w:pPr>
              <w:keepNext w:val="0"/>
              <w:keepLines w:val="0"/>
              <w:widowControl/>
              <w:suppressLineNumbers w:val="0"/>
              <w:jc w:val="center"/>
              <w:rPr>
                <w:rFonts w:hint="default" w:cs="Times New Roman"/>
                <w:b w:val="0"/>
                <w:bCs/>
                <w:kern w:val="2"/>
                <w:sz w:val="21"/>
                <w:szCs w:val="20"/>
                <w:lang w:val="en-US" w:eastAsia="zh-CN" w:bidi="ar-SA"/>
              </w:rPr>
            </w:pPr>
            <w:r>
              <w:rPr>
                <w:rFonts w:hint="eastAsia" w:cs="Times New Roman"/>
                <w:b w:val="0"/>
                <w:bCs/>
                <w:kern w:val="2"/>
                <w:sz w:val="21"/>
                <w:szCs w:val="20"/>
                <w:lang w:val="en-US" w:eastAsia="zh-CN" w:bidi="ar-SA"/>
              </w:rPr>
              <w:t>备注</w:t>
            </w:r>
          </w:p>
        </w:tc>
      </w:tr>
      <w:tr w14:paraId="36D86116">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1374" w:hRule="atLeast"/>
        </w:trPr>
        <w:tc>
          <w:tcPr>
            <w:tcW w:w="486" w:type="pct"/>
            <w:vAlign w:val="center"/>
          </w:tcPr>
          <w:p w14:paraId="00C373B5">
            <w:pPr>
              <w:keepNext w:val="0"/>
              <w:keepLines w:val="0"/>
              <w:widowControl/>
              <w:suppressLineNumbers w:val="0"/>
              <w:jc w:val="center"/>
              <w:rPr>
                <w:rFonts w:hint="eastAsia" w:ascii="Times New Roman" w:hAnsi="Times New Roman" w:eastAsia="宋体" w:cs="Times New Roman"/>
                <w:b w:val="0"/>
                <w:bCs/>
                <w:kern w:val="2"/>
                <w:sz w:val="21"/>
                <w:szCs w:val="20"/>
                <w:lang w:val="en-US" w:eastAsia="zh-CN" w:bidi="ar-SA"/>
              </w:rPr>
            </w:pPr>
          </w:p>
          <w:p w14:paraId="76D50B22">
            <w:pPr>
              <w:keepNext w:val="0"/>
              <w:keepLines w:val="0"/>
              <w:widowControl/>
              <w:suppressLineNumbers w:val="0"/>
              <w:jc w:val="center"/>
              <w:rPr>
                <w:rFonts w:hint="eastAsia" w:ascii="Times New Roman" w:hAnsi="Times New Roman" w:eastAsia="宋体" w:cs="Times New Roman"/>
                <w:b w:val="0"/>
                <w:bCs/>
                <w:kern w:val="2"/>
                <w:sz w:val="21"/>
                <w:szCs w:val="20"/>
                <w:lang w:val="en-US" w:eastAsia="zh-CN" w:bidi="ar-SA"/>
              </w:rPr>
            </w:pPr>
          </w:p>
          <w:p w14:paraId="0AAC4077">
            <w:pPr>
              <w:keepNext w:val="0"/>
              <w:keepLines w:val="0"/>
              <w:widowControl/>
              <w:suppressLineNumbers w:val="0"/>
              <w:jc w:val="center"/>
              <w:rPr>
                <w:rFonts w:hint="eastAsia" w:ascii="Times New Roman" w:hAnsi="Times New Roman" w:eastAsia="宋体" w:cs="Times New Roman"/>
                <w:b w:val="0"/>
                <w:bCs/>
                <w:kern w:val="2"/>
                <w:sz w:val="21"/>
                <w:szCs w:val="20"/>
                <w:lang w:val="en-US" w:eastAsia="zh-CN" w:bidi="ar-SA"/>
              </w:rPr>
            </w:pPr>
            <w:r>
              <w:rPr>
                <w:rFonts w:hint="eastAsia" w:ascii="Times New Roman" w:hAnsi="Times New Roman" w:eastAsia="宋体" w:cs="Times New Roman"/>
                <w:b w:val="0"/>
                <w:bCs/>
                <w:kern w:val="2"/>
                <w:sz w:val="21"/>
                <w:szCs w:val="20"/>
                <w:lang w:val="en-US" w:eastAsia="zh-CN" w:bidi="ar-SA"/>
              </w:rPr>
              <w:t>1</w:t>
            </w:r>
          </w:p>
        </w:tc>
        <w:tc>
          <w:tcPr>
            <w:tcW w:w="1009" w:type="pct"/>
            <w:vAlign w:val="center"/>
          </w:tcPr>
          <w:p w14:paraId="309BE6D2">
            <w:pPr>
              <w:keepNext w:val="0"/>
              <w:keepLines w:val="0"/>
              <w:widowControl/>
              <w:suppressLineNumbers w:val="0"/>
              <w:jc w:val="center"/>
              <w:rPr>
                <w:rFonts w:hint="eastAsia" w:ascii="Times New Roman" w:hAnsi="Times New Roman" w:eastAsia="宋体" w:cs="Times New Roman"/>
                <w:b w:val="0"/>
                <w:bCs/>
                <w:kern w:val="2"/>
                <w:sz w:val="21"/>
                <w:szCs w:val="20"/>
                <w:lang w:val="en-US" w:eastAsia="zh-CN" w:bidi="ar-SA"/>
              </w:rPr>
            </w:pPr>
          </w:p>
          <w:p w14:paraId="2311B7A0">
            <w:pPr>
              <w:keepNext w:val="0"/>
              <w:keepLines w:val="0"/>
              <w:widowControl/>
              <w:suppressLineNumbers w:val="0"/>
              <w:jc w:val="center"/>
              <w:rPr>
                <w:rFonts w:hint="eastAsia" w:ascii="Times New Roman" w:hAnsi="Times New Roman" w:eastAsia="宋体" w:cs="Times New Roman"/>
                <w:b w:val="0"/>
                <w:bCs/>
                <w:kern w:val="2"/>
                <w:sz w:val="21"/>
                <w:szCs w:val="20"/>
                <w:lang w:val="en-US" w:eastAsia="zh-CN" w:bidi="ar-SA"/>
              </w:rPr>
            </w:pPr>
            <w:r>
              <w:rPr>
                <w:rFonts w:hint="eastAsia" w:ascii="Times New Roman" w:hAnsi="Times New Roman" w:eastAsia="宋体" w:cs="Times New Roman"/>
                <w:b w:val="0"/>
                <w:bCs/>
                <w:kern w:val="2"/>
                <w:sz w:val="21"/>
                <w:szCs w:val="20"/>
                <w:lang w:val="en-US" w:eastAsia="zh-CN" w:bidi="ar-SA"/>
              </w:rPr>
              <w:t>202-01101-3906</w:t>
            </w:r>
          </w:p>
          <w:p w14:paraId="0E04EB6C">
            <w:pPr>
              <w:keepNext w:val="0"/>
              <w:keepLines w:val="0"/>
              <w:widowControl/>
              <w:suppressLineNumbers w:val="0"/>
              <w:jc w:val="center"/>
              <w:rPr>
                <w:rFonts w:hint="eastAsia" w:ascii="Times New Roman" w:hAnsi="Times New Roman" w:eastAsia="宋体" w:cs="Times New Roman"/>
                <w:b w:val="0"/>
                <w:bCs/>
                <w:kern w:val="2"/>
                <w:sz w:val="21"/>
                <w:szCs w:val="20"/>
                <w:lang w:val="en-US" w:eastAsia="zh-CN" w:bidi="ar-SA"/>
              </w:rPr>
            </w:pPr>
            <w:r>
              <w:rPr>
                <w:rFonts w:hint="eastAsia" w:ascii="Times New Roman" w:hAnsi="Times New Roman" w:eastAsia="宋体" w:cs="Times New Roman"/>
                <w:b w:val="0"/>
                <w:bCs/>
                <w:kern w:val="2"/>
                <w:sz w:val="21"/>
                <w:szCs w:val="20"/>
                <w:lang w:val="en-US" w:eastAsia="zh-CN" w:bidi="ar-SA"/>
              </w:rPr>
              <w:t>MC/MT13H 缸体</w:t>
            </w:r>
          </w:p>
        </w:tc>
        <w:tc>
          <w:tcPr>
            <w:tcW w:w="674" w:type="pct"/>
            <w:vAlign w:val="center"/>
          </w:tcPr>
          <w:p w14:paraId="4254A850">
            <w:pPr>
              <w:keepNext w:val="0"/>
              <w:keepLines w:val="0"/>
              <w:widowControl/>
              <w:suppressLineNumbers w:val="0"/>
              <w:jc w:val="center"/>
              <w:rPr>
                <w:rFonts w:hint="eastAsia" w:ascii="Times New Roman" w:hAnsi="Times New Roman" w:eastAsia="宋体" w:cs="Times New Roman"/>
                <w:b w:val="0"/>
                <w:bCs/>
                <w:kern w:val="2"/>
                <w:sz w:val="21"/>
                <w:szCs w:val="20"/>
                <w:lang w:val="en-US" w:eastAsia="zh-CN" w:bidi="ar-SA"/>
              </w:rPr>
            </w:pPr>
          </w:p>
          <w:p w14:paraId="668B2A1F">
            <w:pPr>
              <w:keepNext w:val="0"/>
              <w:keepLines w:val="0"/>
              <w:widowControl/>
              <w:suppressLineNumbers w:val="0"/>
              <w:jc w:val="center"/>
              <w:rPr>
                <w:rFonts w:hint="eastAsia" w:ascii="Times New Roman" w:hAnsi="Times New Roman" w:eastAsia="宋体" w:cs="Times New Roman"/>
                <w:b w:val="0"/>
                <w:bCs/>
                <w:kern w:val="2"/>
                <w:sz w:val="21"/>
                <w:szCs w:val="20"/>
                <w:lang w:val="en-US" w:eastAsia="zh-CN" w:bidi="ar-SA"/>
              </w:rPr>
            </w:pPr>
            <w:r>
              <w:rPr>
                <w:rFonts w:hint="eastAsia" w:ascii="Times New Roman" w:hAnsi="Times New Roman" w:eastAsia="宋体" w:cs="Times New Roman"/>
                <w:b w:val="0"/>
                <w:bCs/>
                <w:kern w:val="2"/>
                <w:sz w:val="21"/>
                <w:szCs w:val="20"/>
                <w:lang w:val="en-US" w:eastAsia="zh-CN" w:bidi="ar-SA"/>
              </w:rPr>
              <w:t>上下模样（第一套）</w:t>
            </w:r>
          </w:p>
        </w:tc>
        <w:tc>
          <w:tcPr>
            <w:tcW w:w="575" w:type="pct"/>
            <w:vAlign w:val="center"/>
          </w:tcPr>
          <w:p w14:paraId="7AD0BFD6">
            <w:pPr>
              <w:keepNext w:val="0"/>
              <w:keepLines w:val="0"/>
              <w:widowControl/>
              <w:suppressLineNumbers w:val="0"/>
              <w:jc w:val="center"/>
              <w:rPr>
                <w:rFonts w:hint="eastAsia" w:ascii="Times New Roman" w:hAnsi="Times New Roman" w:eastAsia="宋体" w:cs="Times New Roman"/>
                <w:b w:val="0"/>
                <w:bCs/>
                <w:kern w:val="2"/>
                <w:sz w:val="21"/>
                <w:szCs w:val="20"/>
                <w:lang w:val="en-US" w:eastAsia="zh-CN" w:bidi="ar-SA"/>
              </w:rPr>
            </w:pPr>
          </w:p>
          <w:p w14:paraId="0E850CFC">
            <w:pPr>
              <w:keepNext w:val="0"/>
              <w:keepLines w:val="0"/>
              <w:widowControl/>
              <w:suppressLineNumbers w:val="0"/>
              <w:jc w:val="center"/>
              <w:rPr>
                <w:rFonts w:hint="eastAsia" w:ascii="Times New Roman" w:hAnsi="Times New Roman" w:eastAsia="宋体" w:cs="Times New Roman"/>
                <w:b w:val="0"/>
                <w:bCs/>
                <w:kern w:val="2"/>
                <w:sz w:val="21"/>
                <w:szCs w:val="20"/>
                <w:lang w:val="en-US" w:eastAsia="zh-CN" w:bidi="ar-SA"/>
              </w:rPr>
            </w:pPr>
          </w:p>
          <w:p w14:paraId="4C7F3E1C">
            <w:pPr>
              <w:keepNext w:val="0"/>
              <w:keepLines w:val="0"/>
              <w:widowControl/>
              <w:suppressLineNumbers w:val="0"/>
              <w:jc w:val="center"/>
              <w:rPr>
                <w:rFonts w:hint="eastAsia" w:ascii="Times New Roman" w:hAnsi="Times New Roman" w:eastAsia="宋体" w:cs="Times New Roman"/>
                <w:b w:val="0"/>
                <w:bCs/>
                <w:kern w:val="2"/>
                <w:sz w:val="21"/>
                <w:szCs w:val="20"/>
                <w:lang w:val="en-US" w:eastAsia="zh-CN" w:bidi="ar-SA"/>
              </w:rPr>
            </w:pPr>
            <w:r>
              <w:rPr>
                <w:rFonts w:hint="eastAsia" w:ascii="Times New Roman" w:hAnsi="Times New Roman" w:eastAsia="宋体" w:cs="Times New Roman"/>
                <w:b w:val="0"/>
                <w:bCs/>
                <w:kern w:val="2"/>
                <w:sz w:val="21"/>
                <w:szCs w:val="20"/>
                <w:lang w:val="en-US" w:eastAsia="zh-CN" w:bidi="ar-SA"/>
              </w:rPr>
              <w:t>1</w:t>
            </w:r>
          </w:p>
        </w:tc>
        <w:tc>
          <w:tcPr>
            <w:tcW w:w="671" w:type="pct"/>
            <w:vAlign w:val="center"/>
          </w:tcPr>
          <w:p w14:paraId="714C5943">
            <w:pPr>
              <w:keepNext w:val="0"/>
              <w:keepLines w:val="0"/>
              <w:widowControl/>
              <w:suppressLineNumbers w:val="0"/>
              <w:jc w:val="center"/>
              <w:rPr>
                <w:rFonts w:hint="eastAsia" w:ascii="Times New Roman" w:hAnsi="Times New Roman" w:eastAsia="宋体" w:cs="Times New Roman"/>
                <w:b w:val="0"/>
                <w:bCs/>
                <w:kern w:val="2"/>
                <w:sz w:val="21"/>
                <w:szCs w:val="20"/>
                <w:lang w:val="en-US" w:eastAsia="zh-CN" w:bidi="ar-SA"/>
              </w:rPr>
            </w:pPr>
          </w:p>
          <w:p w14:paraId="4D7FCCE4">
            <w:pPr>
              <w:keepNext w:val="0"/>
              <w:keepLines w:val="0"/>
              <w:widowControl/>
              <w:suppressLineNumbers w:val="0"/>
              <w:jc w:val="center"/>
              <w:rPr>
                <w:rFonts w:hint="eastAsia" w:ascii="Times New Roman" w:hAnsi="Times New Roman" w:eastAsia="宋体" w:cs="Times New Roman"/>
                <w:b w:val="0"/>
                <w:bCs/>
                <w:kern w:val="2"/>
                <w:sz w:val="21"/>
                <w:szCs w:val="20"/>
                <w:lang w:val="en-US" w:eastAsia="zh-CN" w:bidi="ar-SA"/>
              </w:rPr>
            </w:pPr>
          </w:p>
          <w:p w14:paraId="51BE6927">
            <w:pPr>
              <w:keepNext w:val="0"/>
              <w:keepLines w:val="0"/>
              <w:widowControl/>
              <w:suppressLineNumbers w:val="0"/>
              <w:jc w:val="center"/>
              <w:rPr>
                <w:rFonts w:hint="eastAsia" w:ascii="Times New Roman" w:hAnsi="Times New Roman" w:eastAsia="宋体" w:cs="Times New Roman"/>
                <w:b w:val="0"/>
                <w:bCs/>
                <w:kern w:val="2"/>
                <w:sz w:val="21"/>
                <w:szCs w:val="20"/>
                <w:lang w:val="en-US" w:eastAsia="zh-CN" w:bidi="ar-SA"/>
              </w:rPr>
            </w:pPr>
            <w:r>
              <w:rPr>
                <w:rFonts w:hint="eastAsia" w:ascii="Times New Roman" w:hAnsi="Times New Roman" w:eastAsia="宋体" w:cs="Times New Roman"/>
                <w:b w:val="0"/>
                <w:bCs/>
                <w:kern w:val="2"/>
                <w:sz w:val="21"/>
                <w:szCs w:val="20"/>
                <w:lang w:val="en-US" w:eastAsia="zh-CN" w:bidi="ar-SA"/>
              </w:rPr>
              <w:t>套</w:t>
            </w:r>
          </w:p>
        </w:tc>
        <w:tc>
          <w:tcPr>
            <w:tcW w:w="1582" w:type="pct"/>
            <w:vMerge w:val="restart"/>
            <w:tcBorders>
              <w:bottom w:val="nil"/>
            </w:tcBorders>
            <w:vAlign w:val="top"/>
          </w:tcPr>
          <w:p w14:paraId="7BC55606">
            <w:pPr>
              <w:keepNext w:val="0"/>
              <w:keepLines w:val="0"/>
              <w:widowControl/>
              <w:suppressLineNumbers w:val="0"/>
              <w:jc w:val="left"/>
              <w:rPr>
                <w:rFonts w:hint="eastAsia"/>
                <w:b w:val="0"/>
                <w:bCs/>
                <w:lang w:eastAsia="zh-CN"/>
              </w:rPr>
            </w:pPr>
          </w:p>
          <w:p w14:paraId="036ED6A9">
            <w:pPr>
              <w:keepNext w:val="0"/>
              <w:keepLines w:val="0"/>
              <w:widowControl/>
              <w:suppressLineNumbers w:val="0"/>
              <w:jc w:val="left"/>
              <w:rPr>
                <w:rFonts w:hint="eastAsia"/>
                <w:b w:val="0"/>
                <w:bCs/>
                <w:lang w:eastAsia="zh-CN"/>
              </w:rPr>
            </w:pPr>
          </w:p>
          <w:p w14:paraId="733DD9BD">
            <w:pPr>
              <w:keepNext w:val="0"/>
              <w:keepLines w:val="0"/>
              <w:widowControl/>
              <w:suppressLineNumbers w:val="0"/>
              <w:jc w:val="left"/>
              <w:rPr>
                <w:rFonts w:hint="eastAsia"/>
                <w:b w:val="0"/>
                <w:bCs/>
                <w:lang w:eastAsia="zh-CN"/>
              </w:rPr>
            </w:pPr>
          </w:p>
          <w:p w14:paraId="03ECE0CE">
            <w:pPr>
              <w:keepNext w:val="0"/>
              <w:keepLines w:val="0"/>
              <w:widowControl/>
              <w:suppressLineNumbers w:val="0"/>
              <w:jc w:val="left"/>
              <w:rPr>
                <w:rFonts w:hint="eastAsia"/>
                <w:b w:val="0"/>
                <w:bCs/>
                <w:lang w:eastAsia="zh-CN"/>
              </w:rPr>
            </w:pPr>
            <w:r>
              <w:rPr>
                <w:rFonts w:hint="eastAsia"/>
                <w:b w:val="0"/>
                <w:bCs/>
                <w:lang w:eastAsia="zh-CN"/>
              </w:rPr>
              <w:t>铸造一部用，根据工艺工程部</w:t>
            </w:r>
          </w:p>
          <w:p w14:paraId="3076E67F">
            <w:pPr>
              <w:keepNext w:val="0"/>
              <w:keepLines w:val="0"/>
              <w:widowControl/>
              <w:suppressLineNumbers w:val="0"/>
              <w:jc w:val="left"/>
              <w:rPr>
                <w:rFonts w:hint="eastAsia"/>
                <w:b w:val="0"/>
                <w:bCs/>
                <w:lang w:eastAsia="zh-CN"/>
              </w:rPr>
            </w:pPr>
            <w:r>
              <w:rPr>
                <w:rFonts w:hint="eastAsia"/>
                <w:b w:val="0"/>
                <w:bCs/>
                <w:lang w:eastAsia="zh-CN"/>
              </w:rPr>
              <w:t>SQBG14B20261122001 过程变更申请修改，满足客户对于 MT13型发动机装配的需求。</w:t>
            </w:r>
          </w:p>
        </w:tc>
      </w:tr>
      <w:tr w14:paraId="29256A18">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1457" w:hRule="atLeast"/>
        </w:trPr>
        <w:tc>
          <w:tcPr>
            <w:tcW w:w="486" w:type="pct"/>
            <w:vAlign w:val="center"/>
          </w:tcPr>
          <w:p w14:paraId="50006BDA">
            <w:pPr>
              <w:keepNext w:val="0"/>
              <w:keepLines w:val="0"/>
              <w:widowControl/>
              <w:suppressLineNumbers w:val="0"/>
              <w:jc w:val="center"/>
              <w:rPr>
                <w:rFonts w:hint="eastAsia" w:ascii="Times New Roman" w:hAnsi="Times New Roman" w:eastAsia="宋体" w:cs="Times New Roman"/>
                <w:b w:val="0"/>
                <w:bCs/>
                <w:kern w:val="2"/>
                <w:sz w:val="21"/>
                <w:szCs w:val="20"/>
                <w:lang w:val="en-US" w:eastAsia="zh-CN" w:bidi="ar-SA"/>
              </w:rPr>
            </w:pPr>
          </w:p>
          <w:p w14:paraId="40D6A09D">
            <w:pPr>
              <w:keepNext w:val="0"/>
              <w:keepLines w:val="0"/>
              <w:widowControl/>
              <w:suppressLineNumbers w:val="0"/>
              <w:jc w:val="center"/>
              <w:rPr>
                <w:rFonts w:hint="eastAsia" w:ascii="Times New Roman" w:hAnsi="Times New Roman" w:eastAsia="宋体" w:cs="Times New Roman"/>
                <w:b w:val="0"/>
                <w:bCs/>
                <w:kern w:val="2"/>
                <w:sz w:val="21"/>
                <w:szCs w:val="20"/>
                <w:lang w:val="en-US" w:eastAsia="zh-CN" w:bidi="ar-SA"/>
              </w:rPr>
            </w:pPr>
          </w:p>
          <w:p w14:paraId="4FD90DCC">
            <w:pPr>
              <w:keepNext w:val="0"/>
              <w:keepLines w:val="0"/>
              <w:widowControl/>
              <w:suppressLineNumbers w:val="0"/>
              <w:jc w:val="center"/>
              <w:rPr>
                <w:rFonts w:hint="eastAsia" w:ascii="Times New Roman" w:hAnsi="Times New Roman" w:eastAsia="宋体" w:cs="Times New Roman"/>
                <w:b w:val="0"/>
                <w:bCs/>
                <w:kern w:val="2"/>
                <w:sz w:val="21"/>
                <w:szCs w:val="20"/>
                <w:lang w:val="en-US" w:eastAsia="zh-CN" w:bidi="ar-SA"/>
              </w:rPr>
            </w:pPr>
            <w:r>
              <w:rPr>
                <w:rFonts w:hint="eastAsia" w:ascii="Times New Roman" w:hAnsi="Times New Roman" w:eastAsia="宋体" w:cs="Times New Roman"/>
                <w:b w:val="0"/>
                <w:bCs/>
                <w:kern w:val="2"/>
                <w:sz w:val="21"/>
                <w:szCs w:val="20"/>
                <w:lang w:val="en-US" w:eastAsia="zh-CN" w:bidi="ar-SA"/>
              </w:rPr>
              <w:t>2</w:t>
            </w:r>
          </w:p>
        </w:tc>
        <w:tc>
          <w:tcPr>
            <w:tcW w:w="1009" w:type="pct"/>
            <w:vAlign w:val="center"/>
          </w:tcPr>
          <w:p w14:paraId="5FA0B081">
            <w:pPr>
              <w:keepNext w:val="0"/>
              <w:keepLines w:val="0"/>
              <w:widowControl/>
              <w:suppressLineNumbers w:val="0"/>
              <w:jc w:val="center"/>
              <w:rPr>
                <w:rFonts w:hint="eastAsia" w:ascii="Times New Roman" w:hAnsi="Times New Roman" w:eastAsia="宋体" w:cs="Times New Roman"/>
                <w:b w:val="0"/>
                <w:bCs/>
                <w:kern w:val="2"/>
                <w:sz w:val="21"/>
                <w:szCs w:val="20"/>
                <w:lang w:val="en-US" w:eastAsia="zh-CN" w:bidi="ar-SA"/>
              </w:rPr>
            </w:pPr>
          </w:p>
          <w:p w14:paraId="67CDD964">
            <w:pPr>
              <w:keepNext w:val="0"/>
              <w:keepLines w:val="0"/>
              <w:widowControl/>
              <w:suppressLineNumbers w:val="0"/>
              <w:jc w:val="center"/>
              <w:rPr>
                <w:rFonts w:hint="eastAsia" w:ascii="Times New Roman" w:hAnsi="Times New Roman" w:eastAsia="宋体" w:cs="Times New Roman"/>
                <w:b w:val="0"/>
                <w:bCs/>
                <w:kern w:val="2"/>
                <w:sz w:val="21"/>
                <w:szCs w:val="20"/>
                <w:lang w:val="en-US" w:eastAsia="zh-CN" w:bidi="ar-SA"/>
              </w:rPr>
            </w:pPr>
            <w:r>
              <w:rPr>
                <w:rFonts w:hint="eastAsia" w:ascii="Times New Roman" w:hAnsi="Times New Roman" w:eastAsia="宋体" w:cs="Times New Roman"/>
                <w:b w:val="0"/>
                <w:bCs/>
                <w:kern w:val="2"/>
                <w:sz w:val="21"/>
                <w:szCs w:val="20"/>
                <w:lang w:val="en-US" w:eastAsia="zh-CN" w:bidi="ar-SA"/>
              </w:rPr>
              <w:t>202-01101-3906</w:t>
            </w:r>
          </w:p>
          <w:p w14:paraId="4C5DD9BB">
            <w:pPr>
              <w:keepNext w:val="0"/>
              <w:keepLines w:val="0"/>
              <w:widowControl/>
              <w:suppressLineNumbers w:val="0"/>
              <w:jc w:val="center"/>
              <w:rPr>
                <w:rFonts w:hint="eastAsia" w:ascii="Times New Roman" w:hAnsi="Times New Roman" w:eastAsia="宋体" w:cs="Times New Roman"/>
                <w:b w:val="0"/>
                <w:bCs/>
                <w:kern w:val="2"/>
                <w:sz w:val="21"/>
                <w:szCs w:val="20"/>
                <w:lang w:val="en-US" w:eastAsia="zh-CN" w:bidi="ar-SA"/>
              </w:rPr>
            </w:pPr>
            <w:r>
              <w:rPr>
                <w:rFonts w:hint="eastAsia" w:ascii="Times New Roman" w:hAnsi="Times New Roman" w:eastAsia="宋体" w:cs="Times New Roman"/>
                <w:b w:val="0"/>
                <w:bCs/>
                <w:kern w:val="2"/>
                <w:sz w:val="21"/>
                <w:szCs w:val="20"/>
                <w:lang w:val="en-US" w:eastAsia="zh-CN" w:bidi="ar-SA"/>
              </w:rPr>
              <w:t>MC/MT13H 缸体</w:t>
            </w:r>
          </w:p>
        </w:tc>
        <w:tc>
          <w:tcPr>
            <w:tcW w:w="674" w:type="pct"/>
            <w:vAlign w:val="center"/>
          </w:tcPr>
          <w:p w14:paraId="7886883A">
            <w:pPr>
              <w:keepNext w:val="0"/>
              <w:keepLines w:val="0"/>
              <w:widowControl/>
              <w:suppressLineNumbers w:val="0"/>
              <w:jc w:val="center"/>
              <w:rPr>
                <w:rFonts w:hint="eastAsia" w:ascii="Times New Roman" w:hAnsi="Times New Roman" w:eastAsia="宋体" w:cs="Times New Roman"/>
                <w:b w:val="0"/>
                <w:bCs/>
                <w:kern w:val="2"/>
                <w:sz w:val="21"/>
                <w:szCs w:val="20"/>
                <w:lang w:val="en-US" w:eastAsia="zh-CN" w:bidi="ar-SA"/>
              </w:rPr>
            </w:pPr>
          </w:p>
          <w:p w14:paraId="7BC07D6E">
            <w:pPr>
              <w:keepNext w:val="0"/>
              <w:keepLines w:val="0"/>
              <w:widowControl/>
              <w:suppressLineNumbers w:val="0"/>
              <w:jc w:val="center"/>
              <w:rPr>
                <w:rFonts w:hint="eastAsia" w:ascii="Times New Roman" w:hAnsi="Times New Roman" w:eastAsia="宋体" w:cs="Times New Roman"/>
                <w:b w:val="0"/>
                <w:bCs/>
                <w:kern w:val="2"/>
                <w:sz w:val="21"/>
                <w:szCs w:val="20"/>
                <w:lang w:val="en-US" w:eastAsia="zh-CN" w:bidi="ar-SA"/>
              </w:rPr>
            </w:pPr>
            <w:r>
              <w:rPr>
                <w:rFonts w:hint="eastAsia" w:ascii="Times New Roman" w:hAnsi="Times New Roman" w:eastAsia="宋体" w:cs="Times New Roman"/>
                <w:b w:val="0"/>
                <w:bCs/>
                <w:kern w:val="2"/>
                <w:sz w:val="21"/>
                <w:szCs w:val="20"/>
                <w:lang w:val="en-US" w:eastAsia="zh-CN" w:bidi="ar-SA"/>
              </w:rPr>
              <w:t>上下模样（第二套）</w:t>
            </w:r>
          </w:p>
        </w:tc>
        <w:tc>
          <w:tcPr>
            <w:tcW w:w="575" w:type="pct"/>
            <w:vAlign w:val="center"/>
          </w:tcPr>
          <w:p w14:paraId="36BFCFCD">
            <w:pPr>
              <w:keepNext w:val="0"/>
              <w:keepLines w:val="0"/>
              <w:widowControl/>
              <w:suppressLineNumbers w:val="0"/>
              <w:jc w:val="center"/>
              <w:rPr>
                <w:rFonts w:hint="eastAsia" w:ascii="Times New Roman" w:hAnsi="Times New Roman" w:eastAsia="宋体" w:cs="Times New Roman"/>
                <w:b w:val="0"/>
                <w:bCs/>
                <w:kern w:val="2"/>
                <w:sz w:val="21"/>
                <w:szCs w:val="20"/>
                <w:lang w:val="en-US" w:eastAsia="zh-CN" w:bidi="ar-SA"/>
              </w:rPr>
            </w:pPr>
          </w:p>
          <w:p w14:paraId="4854C56C">
            <w:pPr>
              <w:keepNext w:val="0"/>
              <w:keepLines w:val="0"/>
              <w:widowControl/>
              <w:suppressLineNumbers w:val="0"/>
              <w:jc w:val="center"/>
              <w:rPr>
                <w:rFonts w:hint="eastAsia" w:ascii="Times New Roman" w:hAnsi="Times New Roman" w:eastAsia="宋体" w:cs="Times New Roman"/>
                <w:b w:val="0"/>
                <w:bCs/>
                <w:kern w:val="2"/>
                <w:sz w:val="21"/>
                <w:szCs w:val="20"/>
                <w:lang w:val="en-US" w:eastAsia="zh-CN" w:bidi="ar-SA"/>
              </w:rPr>
            </w:pPr>
          </w:p>
          <w:p w14:paraId="3EA8DA92">
            <w:pPr>
              <w:keepNext w:val="0"/>
              <w:keepLines w:val="0"/>
              <w:widowControl/>
              <w:suppressLineNumbers w:val="0"/>
              <w:jc w:val="center"/>
              <w:rPr>
                <w:rFonts w:hint="eastAsia" w:ascii="Times New Roman" w:hAnsi="Times New Roman" w:eastAsia="宋体" w:cs="Times New Roman"/>
                <w:b w:val="0"/>
                <w:bCs/>
                <w:kern w:val="2"/>
                <w:sz w:val="21"/>
                <w:szCs w:val="20"/>
                <w:lang w:val="en-US" w:eastAsia="zh-CN" w:bidi="ar-SA"/>
              </w:rPr>
            </w:pPr>
            <w:r>
              <w:rPr>
                <w:rFonts w:hint="eastAsia" w:ascii="Times New Roman" w:hAnsi="Times New Roman" w:eastAsia="宋体" w:cs="Times New Roman"/>
                <w:b w:val="0"/>
                <w:bCs/>
                <w:kern w:val="2"/>
                <w:sz w:val="21"/>
                <w:szCs w:val="20"/>
                <w:lang w:val="en-US" w:eastAsia="zh-CN" w:bidi="ar-SA"/>
              </w:rPr>
              <w:t>1</w:t>
            </w:r>
          </w:p>
        </w:tc>
        <w:tc>
          <w:tcPr>
            <w:tcW w:w="671" w:type="pct"/>
            <w:vAlign w:val="center"/>
          </w:tcPr>
          <w:p w14:paraId="2198CE91">
            <w:pPr>
              <w:keepNext w:val="0"/>
              <w:keepLines w:val="0"/>
              <w:widowControl/>
              <w:suppressLineNumbers w:val="0"/>
              <w:jc w:val="center"/>
              <w:rPr>
                <w:rFonts w:hint="eastAsia" w:ascii="Times New Roman" w:hAnsi="Times New Roman" w:eastAsia="宋体" w:cs="Times New Roman"/>
                <w:b w:val="0"/>
                <w:bCs/>
                <w:kern w:val="2"/>
                <w:sz w:val="21"/>
                <w:szCs w:val="20"/>
                <w:lang w:val="en-US" w:eastAsia="zh-CN" w:bidi="ar-SA"/>
              </w:rPr>
            </w:pPr>
          </w:p>
          <w:p w14:paraId="3C0928C4">
            <w:pPr>
              <w:keepNext w:val="0"/>
              <w:keepLines w:val="0"/>
              <w:widowControl/>
              <w:suppressLineNumbers w:val="0"/>
              <w:jc w:val="center"/>
              <w:rPr>
                <w:rFonts w:hint="eastAsia" w:ascii="Times New Roman" w:hAnsi="Times New Roman" w:eastAsia="宋体" w:cs="Times New Roman"/>
                <w:b w:val="0"/>
                <w:bCs/>
                <w:kern w:val="2"/>
                <w:sz w:val="21"/>
                <w:szCs w:val="20"/>
                <w:lang w:val="en-US" w:eastAsia="zh-CN" w:bidi="ar-SA"/>
              </w:rPr>
            </w:pPr>
          </w:p>
          <w:p w14:paraId="34360B02">
            <w:pPr>
              <w:keepNext w:val="0"/>
              <w:keepLines w:val="0"/>
              <w:widowControl/>
              <w:suppressLineNumbers w:val="0"/>
              <w:jc w:val="center"/>
              <w:rPr>
                <w:rFonts w:hint="eastAsia" w:ascii="Times New Roman" w:hAnsi="Times New Roman" w:eastAsia="宋体" w:cs="Times New Roman"/>
                <w:b w:val="0"/>
                <w:bCs/>
                <w:kern w:val="2"/>
                <w:sz w:val="21"/>
                <w:szCs w:val="20"/>
                <w:lang w:val="en-US" w:eastAsia="zh-CN" w:bidi="ar-SA"/>
              </w:rPr>
            </w:pPr>
            <w:r>
              <w:rPr>
                <w:rFonts w:hint="eastAsia" w:ascii="Times New Roman" w:hAnsi="Times New Roman" w:eastAsia="宋体" w:cs="Times New Roman"/>
                <w:b w:val="0"/>
                <w:bCs/>
                <w:kern w:val="2"/>
                <w:sz w:val="21"/>
                <w:szCs w:val="20"/>
                <w:lang w:val="en-US" w:eastAsia="zh-CN" w:bidi="ar-SA"/>
              </w:rPr>
              <w:t>套</w:t>
            </w:r>
          </w:p>
        </w:tc>
        <w:tc>
          <w:tcPr>
            <w:tcW w:w="1582" w:type="pct"/>
            <w:vMerge w:val="continue"/>
            <w:tcBorders>
              <w:top w:val="nil"/>
            </w:tcBorders>
            <w:vAlign w:val="top"/>
          </w:tcPr>
          <w:p w14:paraId="4AAC5289">
            <w:pPr>
              <w:rPr>
                <w:rFonts w:ascii="Arial"/>
                <w:sz w:val="21"/>
              </w:rPr>
            </w:pPr>
          </w:p>
        </w:tc>
      </w:tr>
    </w:tbl>
    <w:p w14:paraId="322A3664">
      <w:pPr>
        <w:keepNext w:val="0"/>
        <w:keepLines w:val="0"/>
        <w:widowControl/>
        <w:suppressLineNumbers w:val="0"/>
        <w:jc w:val="left"/>
        <w:rPr>
          <w:rFonts w:hint="eastAsia" w:eastAsia="宋体"/>
          <w:b w:val="0"/>
          <w:bCs/>
          <w:lang w:eastAsia="zh-CN"/>
        </w:rPr>
      </w:pPr>
    </w:p>
    <w:p w14:paraId="0AD69F65">
      <w:pPr>
        <w:pStyle w:val="15"/>
        <w:numPr>
          <w:ilvl w:val="0"/>
          <w:numId w:val="0"/>
        </w:numPr>
        <w:spacing w:line="360" w:lineRule="auto"/>
        <w:ind w:firstLine="480" w:firstLineChars="200"/>
        <w:rPr>
          <w:rFonts w:hint="eastAsia"/>
          <w:b/>
          <w:bCs/>
          <w:sz w:val="24"/>
          <w:szCs w:val="24"/>
        </w:rPr>
      </w:pPr>
      <w:r>
        <w:rPr>
          <w:rFonts w:hint="eastAsia"/>
          <w:color w:val="000000"/>
          <w:sz w:val="24"/>
          <w:szCs w:val="24"/>
          <w:lang w:val="en-US" w:eastAsia="zh-CN"/>
        </w:rPr>
        <w:t>2、</w:t>
      </w:r>
      <w:r>
        <w:rPr>
          <w:rFonts w:hint="eastAsia"/>
          <w:color w:val="000000"/>
          <w:sz w:val="24"/>
          <w:szCs w:val="24"/>
        </w:rPr>
        <w:t>招标形式：</w:t>
      </w:r>
      <w:r>
        <w:rPr>
          <w:rFonts w:hint="eastAsia"/>
          <w:color w:val="000000"/>
          <w:sz w:val="24"/>
          <w:szCs w:val="24"/>
          <w:lang w:val="en-US" w:eastAsia="zh-CN"/>
        </w:rPr>
        <w:t>公开招标</w:t>
      </w:r>
    </w:p>
    <w:p w14:paraId="3A9EAE08">
      <w:pPr>
        <w:pStyle w:val="15"/>
        <w:spacing w:line="360" w:lineRule="auto"/>
        <w:ind w:firstLine="562" w:firstLineChars="200"/>
        <w:rPr>
          <w:rFonts w:hint="eastAsia"/>
          <w:b/>
          <w:bCs/>
          <w:color w:val="000000"/>
          <w:sz w:val="28"/>
          <w:szCs w:val="28"/>
        </w:rPr>
      </w:pPr>
      <w:r>
        <w:rPr>
          <w:rFonts w:hint="eastAsia"/>
          <w:b/>
          <w:bCs/>
          <w:sz w:val="28"/>
          <w:szCs w:val="28"/>
        </w:rPr>
        <w:t>三、交货及付款</w:t>
      </w:r>
    </w:p>
    <w:p w14:paraId="343C7031">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lang w:val="en-US" w:eastAsia="zh-CN"/>
        </w:rPr>
      </w:pPr>
      <w:r>
        <w:rPr>
          <w:rFonts w:hint="eastAsia" w:ascii="Times New Roman" w:hAnsi="Times New Roman"/>
          <w:color w:val="000000"/>
          <w:sz w:val="24"/>
          <w:szCs w:val="24"/>
          <w:highlight w:val="none"/>
        </w:rPr>
        <w:t>1</w:t>
      </w:r>
      <w:r>
        <w:rPr>
          <w:rFonts w:hint="eastAsia"/>
          <w:color w:val="000000"/>
          <w:sz w:val="24"/>
          <w:szCs w:val="24"/>
          <w:highlight w:val="none"/>
        </w:rPr>
        <w:t>、交货期：</w:t>
      </w:r>
      <w:r>
        <w:rPr>
          <w:rFonts w:hint="eastAsia" w:ascii="宋体" w:hAnsi="宋体" w:eastAsia="宋体" w:cs="宋体"/>
          <w:sz w:val="24"/>
          <w:szCs w:val="24"/>
          <w:highlight w:val="yellow"/>
          <w:u w:val="single"/>
          <w:lang w:val="en-US" w:eastAsia="zh-CN"/>
        </w:rPr>
        <w:t>工装下线后</w:t>
      </w:r>
      <w:r>
        <w:rPr>
          <w:rFonts w:hint="eastAsia" w:ascii="宋体" w:hAnsi="宋体" w:cs="宋体"/>
          <w:sz w:val="24"/>
          <w:szCs w:val="24"/>
          <w:highlight w:val="yellow"/>
          <w:u w:val="single"/>
          <w:lang w:val="en-US" w:eastAsia="zh-CN"/>
        </w:rPr>
        <w:t>20</w:t>
      </w:r>
      <w:r>
        <w:rPr>
          <w:rFonts w:hint="eastAsia" w:ascii="宋体" w:hAnsi="宋体" w:eastAsia="宋体" w:cs="宋体"/>
          <w:sz w:val="24"/>
          <w:szCs w:val="24"/>
          <w:highlight w:val="yellow"/>
          <w:u w:val="single"/>
          <w:lang w:val="en-US" w:eastAsia="zh-CN"/>
        </w:rPr>
        <w:t>天</w:t>
      </w:r>
      <w:r>
        <w:rPr>
          <w:rFonts w:hint="eastAsia" w:ascii="宋体" w:hAnsi="宋体" w:eastAsia="宋体" w:cs="宋体"/>
          <w:sz w:val="24"/>
          <w:szCs w:val="24"/>
          <w:lang w:val="en-US" w:eastAsia="zh-CN"/>
        </w:rPr>
        <w:t>。</w:t>
      </w:r>
    </w:p>
    <w:p w14:paraId="49539500">
      <w:pPr>
        <w:pStyle w:val="15"/>
        <w:spacing w:line="360" w:lineRule="auto"/>
        <w:ind w:left="479" w:leftChars="228" w:firstLine="0" w:firstLineChars="0"/>
        <w:rPr>
          <w:rFonts w:hint="eastAsia"/>
          <w:color w:val="000000"/>
          <w:sz w:val="24"/>
          <w:szCs w:val="24"/>
        </w:rPr>
      </w:pPr>
      <w:r>
        <w:rPr>
          <w:rFonts w:hint="eastAsia" w:ascii="Times New Roman" w:hAnsi="Times New Roman"/>
          <w:color w:val="000000"/>
          <w:sz w:val="24"/>
          <w:szCs w:val="24"/>
        </w:rPr>
        <w:t>2</w:t>
      </w:r>
      <w:r>
        <w:rPr>
          <w:rFonts w:hint="eastAsia"/>
          <w:color w:val="000000"/>
          <w:sz w:val="24"/>
          <w:szCs w:val="24"/>
        </w:rPr>
        <w:t>、交货地点：济南市章丘区世纪大道6677号济南成型厂</w:t>
      </w:r>
    </w:p>
    <w:p w14:paraId="28458C8A">
      <w:pPr>
        <w:pStyle w:val="15"/>
        <w:spacing w:line="360" w:lineRule="auto"/>
        <w:ind w:firstLine="480" w:firstLineChars="200"/>
        <w:rPr>
          <w:rFonts w:hint="eastAsia"/>
          <w:color w:val="000000"/>
          <w:sz w:val="24"/>
          <w:szCs w:val="24"/>
        </w:rPr>
      </w:pPr>
      <w:r>
        <w:rPr>
          <w:rFonts w:hint="eastAsia" w:ascii="Times New Roman" w:hAnsi="Times New Roman"/>
          <w:color w:val="000000"/>
          <w:sz w:val="24"/>
          <w:szCs w:val="24"/>
        </w:rPr>
        <w:t>3</w:t>
      </w:r>
      <w:r>
        <w:rPr>
          <w:rFonts w:hint="eastAsia"/>
          <w:color w:val="000000"/>
          <w:sz w:val="24"/>
          <w:szCs w:val="24"/>
        </w:rPr>
        <w:t>、交货方式： 送货至济南成型厂并安全落地</w:t>
      </w:r>
    </w:p>
    <w:p w14:paraId="48C2A604">
      <w:pPr>
        <w:pStyle w:val="15"/>
        <w:spacing w:line="360" w:lineRule="auto"/>
        <w:ind w:firstLine="480" w:firstLineChars="200"/>
        <w:rPr>
          <w:rFonts w:hint="eastAsia"/>
          <w:color w:val="000000"/>
          <w:sz w:val="24"/>
          <w:szCs w:val="24"/>
        </w:rPr>
      </w:pPr>
      <w:r>
        <w:rPr>
          <w:rFonts w:hint="eastAsia"/>
          <w:color w:val="000000"/>
          <w:sz w:val="24"/>
          <w:szCs w:val="24"/>
        </w:rPr>
        <w:t>4、货款及支付方式：</w:t>
      </w:r>
    </w:p>
    <w:p w14:paraId="3F9DB036">
      <w:pPr>
        <w:spacing w:line="360" w:lineRule="auto"/>
        <w:ind w:firstLine="480" w:firstLineChars="200"/>
        <w:rPr>
          <w:rFonts w:hint="default" w:ascii="宋体" w:hAnsi="宋体" w:eastAsia="宋体"/>
          <w:szCs w:val="21"/>
          <w:lang w:val="en-US" w:eastAsia="zh-CN"/>
        </w:rPr>
      </w:pPr>
      <w:r>
        <w:rPr>
          <w:rFonts w:hint="eastAsia" w:ascii="宋体" w:hAnsi="宋体" w:eastAsia="宋体" w:cs="宋体"/>
          <w:color w:val="000000"/>
          <w:sz w:val="24"/>
          <w:szCs w:val="24"/>
        </w:rPr>
        <w:t>采用发票挂账90天，半年期商业汇票（商业汇票包括银行承兑汇票和商业承兑汇票）付款。</w:t>
      </w:r>
      <w:r>
        <w:rPr>
          <w:rFonts w:hint="eastAsia" w:ascii="宋体" w:hAnsi="宋体" w:eastAsia="宋体" w:cs="宋体"/>
          <w:color w:val="auto"/>
          <w:sz w:val="24"/>
          <w:szCs w:val="24"/>
        </w:rPr>
        <w:t>定做方不付预付款，产品检验合格后，承揽方全额开具税率13%的增值税专用发票，定做方依据《模具检验单》进行挂账。挂帐90天，定做方财务流程审核通过后以半年期商业汇票付款95%，定做方扣除货款总额的5%作为质量保证金，在质保期满无质量问题后无息返还。</w:t>
      </w:r>
    </w:p>
    <w:p w14:paraId="43DFE0C6">
      <w:pPr>
        <w:spacing w:line="360" w:lineRule="auto"/>
        <w:ind w:firstLine="420"/>
        <w:rPr>
          <w:rFonts w:hint="eastAsia" w:hAnsi="宋体"/>
          <w:sz w:val="24"/>
          <w:szCs w:val="24"/>
          <w:lang w:val="en-US" w:eastAsia="zh-CN"/>
        </w:rPr>
      </w:pPr>
      <w:r>
        <w:rPr>
          <w:rFonts w:hint="eastAsia" w:hAnsi="宋体"/>
          <w:sz w:val="24"/>
          <w:szCs w:val="24"/>
          <w:lang w:val="en-US" w:eastAsia="zh-CN"/>
        </w:rPr>
        <w:t>5、</w:t>
      </w:r>
      <w:r>
        <w:rPr>
          <w:rFonts w:hint="eastAsia" w:hAnsi="宋体"/>
          <w:sz w:val="24"/>
          <w:szCs w:val="24"/>
        </w:rPr>
        <w:t>产品的质量保证期：产品检验合格后12个月</w:t>
      </w:r>
      <w:r>
        <w:rPr>
          <w:rFonts w:hint="eastAsia" w:ascii="宋体" w:hAnsi="宋体" w:eastAsia="宋体" w:cs="宋体"/>
          <w:b w:val="0"/>
          <w:bCs w:val="0"/>
          <w:color w:val="auto"/>
          <w:sz w:val="24"/>
          <w:szCs w:val="24"/>
          <w:u w:val="none"/>
          <w:lang w:val="en-US" w:eastAsia="zh-CN"/>
        </w:rPr>
        <w:t>或达到技术协议</w:t>
      </w:r>
      <w:r>
        <w:rPr>
          <w:rFonts w:hint="eastAsia" w:ascii="宋体" w:hAnsi="宋体" w:cs="宋体"/>
          <w:b w:val="0"/>
          <w:bCs w:val="0"/>
          <w:color w:val="auto"/>
          <w:sz w:val="24"/>
          <w:szCs w:val="24"/>
          <w:u w:val="none"/>
          <w:lang w:val="en-US" w:eastAsia="zh-CN"/>
        </w:rPr>
        <w:t>中</w:t>
      </w:r>
      <w:r>
        <w:rPr>
          <w:rFonts w:hint="eastAsia" w:ascii="宋体" w:hAnsi="宋体" w:eastAsia="宋体" w:cs="宋体"/>
          <w:b w:val="0"/>
          <w:bCs w:val="0"/>
          <w:color w:val="auto"/>
          <w:sz w:val="24"/>
          <w:szCs w:val="24"/>
          <w:u w:val="none"/>
          <w:lang w:val="en-US" w:eastAsia="zh-CN"/>
        </w:rPr>
        <w:t>要求</w:t>
      </w:r>
      <w:r>
        <w:rPr>
          <w:rFonts w:hint="eastAsia" w:ascii="宋体" w:hAnsi="宋体" w:cs="宋体"/>
          <w:b w:val="0"/>
          <w:bCs w:val="0"/>
          <w:color w:val="auto"/>
          <w:sz w:val="24"/>
          <w:szCs w:val="24"/>
          <w:u w:val="none"/>
          <w:lang w:val="en-US" w:eastAsia="zh-CN"/>
        </w:rPr>
        <w:t>的</w:t>
      </w:r>
      <w:r>
        <w:rPr>
          <w:rFonts w:hint="eastAsia" w:ascii="宋体" w:hAnsi="宋体" w:eastAsia="宋体" w:cs="宋体"/>
          <w:b w:val="0"/>
          <w:bCs w:val="0"/>
          <w:color w:val="auto"/>
          <w:sz w:val="24"/>
          <w:szCs w:val="24"/>
          <w:u w:val="none"/>
          <w:lang w:val="en-US" w:eastAsia="zh-CN"/>
        </w:rPr>
        <w:t>使用</w:t>
      </w:r>
      <w:r>
        <w:rPr>
          <w:rFonts w:hint="eastAsia" w:ascii="宋体" w:hAnsi="宋体" w:cs="宋体"/>
          <w:b w:val="0"/>
          <w:bCs w:val="0"/>
          <w:color w:val="auto"/>
          <w:sz w:val="24"/>
          <w:szCs w:val="24"/>
          <w:u w:val="none"/>
          <w:lang w:val="en-US" w:eastAsia="zh-CN"/>
        </w:rPr>
        <w:t>频次</w:t>
      </w:r>
      <w:r>
        <w:rPr>
          <w:rFonts w:hint="eastAsia" w:ascii="宋体" w:hAnsi="宋体" w:eastAsia="宋体" w:cs="宋体"/>
          <w:b w:val="0"/>
          <w:bCs w:val="0"/>
          <w:color w:val="auto"/>
          <w:sz w:val="24"/>
          <w:szCs w:val="24"/>
          <w:highlight w:val="none"/>
          <w:u w:val="none"/>
          <w:lang w:val="en-US" w:eastAsia="zh-CN"/>
        </w:rPr>
        <w:t>，</w:t>
      </w:r>
      <w:r>
        <w:rPr>
          <w:rFonts w:hint="eastAsia" w:ascii="宋体" w:hAnsi="宋体" w:cs="宋体"/>
          <w:b w:val="0"/>
          <w:bCs w:val="0"/>
          <w:color w:val="auto"/>
          <w:sz w:val="24"/>
          <w:szCs w:val="24"/>
          <w:highlight w:val="none"/>
          <w:u w:val="none"/>
          <w:lang w:val="en-US" w:eastAsia="zh-CN"/>
        </w:rPr>
        <w:t>以先到者为准。</w:t>
      </w:r>
    </w:p>
    <w:p w14:paraId="193B63CE">
      <w:pPr>
        <w:pStyle w:val="111"/>
        <w:spacing w:line="360" w:lineRule="auto"/>
        <w:ind w:firstLine="482" w:firstLineChars="200"/>
        <w:rPr>
          <w:b/>
          <w:bCs/>
        </w:rPr>
      </w:pPr>
      <w:r>
        <w:rPr>
          <w:rFonts w:hint="eastAsia"/>
          <w:b/>
          <w:bCs/>
          <w:lang w:val="en-US" w:eastAsia="zh-CN"/>
        </w:rPr>
        <w:t>四</w:t>
      </w:r>
      <w:r>
        <w:rPr>
          <w:rFonts w:hint="eastAsia"/>
          <w:b/>
          <w:bCs/>
        </w:rPr>
        <w:t>、</w:t>
      </w:r>
      <w:r>
        <w:rPr>
          <w:rFonts w:hint="eastAsia"/>
          <w:b/>
          <w:bCs/>
          <w:lang w:val="en-US" w:eastAsia="zh-CN"/>
        </w:rPr>
        <w:t>技术标</w:t>
      </w:r>
    </w:p>
    <w:p w14:paraId="6F4A5563">
      <w:pPr>
        <w:spacing w:line="360" w:lineRule="auto"/>
        <w:ind w:firstLine="480" w:firstLineChars="200"/>
        <w:rPr>
          <w:rFonts w:hint="eastAsia" w:ascii="宋体" w:hAnsi="宋体" w:eastAsia="宋体" w:cs="宋体"/>
          <w:sz w:val="24"/>
          <w:highlight w:val="none"/>
          <w:lang w:eastAsia="zh-CN"/>
        </w:rPr>
      </w:pPr>
      <w:r>
        <w:rPr>
          <w:rFonts w:hint="default" w:ascii="Calibri" w:hAnsi="Calibri" w:eastAsia="宋体" w:cs="Calibri"/>
          <w:sz w:val="24"/>
          <w:highlight w:val="none"/>
          <w:lang w:eastAsia="zh-CN"/>
        </w:rPr>
        <w:t>①</w:t>
      </w:r>
      <w:r>
        <w:rPr>
          <w:rFonts w:hint="eastAsia" w:ascii="宋体" w:hAnsi="宋体" w:eastAsia="宋体" w:cs="宋体"/>
          <w:sz w:val="24"/>
          <w:highlight w:val="none"/>
          <w:lang w:eastAsia="zh-CN"/>
        </w:rPr>
        <w:t>.</w:t>
      </w:r>
      <w:r>
        <w:rPr>
          <w:rFonts w:hint="eastAsia" w:ascii="宋体" w:hAnsi="宋体" w:eastAsia="宋体" w:cs="宋体"/>
          <w:sz w:val="24"/>
          <w:highlight w:val="none"/>
          <w:lang w:val="en-US" w:eastAsia="zh-CN"/>
        </w:rPr>
        <w:t>工装修改修复</w:t>
      </w:r>
      <w:r>
        <w:rPr>
          <w:rFonts w:hint="eastAsia" w:ascii="宋体" w:hAnsi="宋体" w:eastAsia="宋体" w:cs="宋体"/>
          <w:sz w:val="24"/>
          <w:highlight w:val="none"/>
          <w:lang w:eastAsia="zh-CN"/>
        </w:rPr>
        <w:t>技术要求</w:t>
      </w:r>
    </w:p>
    <w:p w14:paraId="7B2D1CE7">
      <w:pPr>
        <w:spacing w:line="360" w:lineRule="auto"/>
        <w:ind w:firstLine="480" w:firstLineChars="200"/>
        <w:rPr>
          <w:rFonts w:hint="eastAsia" w:ascii="宋体" w:hAnsi="宋体" w:eastAsia="宋体" w:cs="宋体"/>
          <w:sz w:val="24"/>
          <w:highlight w:val="none"/>
          <w:lang w:eastAsia="zh-CN"/>
        </w:rPr>
      </w:pPr>
      <w:r>
        <w:rPr>
          <w:rFonts w:hint="eastAsia" w:ascii="宋体" w:hAnsi="宋体" w:eastAsia="宋体" w:cs="宋体"/>
          <w:sz w:val="24"/>
          <w:highlight w:val="none"/>
          <w:lang w:eastAsia="zh-CN"/>
        </w:rPr>
        <w:t>1.1模具设计优先按相关的国家标准选用标准零件；</w:t>
      </w:r>
    </w:p>
    <w:p w14:paraId="56B9D796">
      <w:pPr>
        <w:spacing w:line="360" w:lineRule="auto"/>
        <w:ind w:firstLine="480" w:firstLineChars="200"/>
        <w:rPr>
          <w:rFonts w:hint="eastAsia" w:ascii="宋体" w:hAnsi="宋体" w:eastAsia="宋体" w:cs="宋体"/>
          <w:sz w:val="24"/>
          <w:highlight w:val="none"/>
          <w:lang w:val="en-US" w:eastAsia="zh-CN"/>
        </w:rPr>
      </w:pPr>
      <w:r>
        <w:rPr>
          <w:rFonts w:hint="eastAsia" w:ascii="宋体" w:hAnsi="宋体" w:eastAsia="宋体" w:cs="宋体"/>
          <w:sz w:val="24"/>
          <w:highlight w:val="none"/>
          <w:lang w:val="en-US" w:eastAsia="zh-CN"/>
        </w:rPr>
        <w:t>1.2工装修改内容</w:t>
      </w:r>
    </w:p>
    <w:p w14:paraId="6A8DB2C2">
      <w:pPr>
        <w:spacing w:line="360" w:lineRule="auto"/>
        <w:ind w:firstLine="480" w:firstLineChars="200"/>
        <w:rPr>
          <w:rFonts w:hint="eastAsia" w:ascii="宋体" w:hAnsi="宋体" w:eastAsia="宋体" w:cs="宋体"/>
          <w:sz w:val="24"/>
          <w:highlight w:val="none"/>
          <w:lang w:val="en-US" w:eastAsia="zh-CN"/>
        </w:rPr>
      </w:pPr>
      <w:r>
        <w:rPr>
          <w:rFonts w:hint="eastAsia" w:ascii="宋体" w:hAnsi="宋体" w:eastAsia="宋体" w:cs="宋体"/>
          <w:sz w:val="24"/>
          <w:highlight w:val="none"/>
          <w:lang w:val="en-US" w:eastAsia="zh-CN"/>
        </w:rPr>
        <w:t>卖方根据买方提供的修改联系单或者修改说明要求进行修改，以提供的三维数据为准。</w:t>
      </w:r>
    </w:p>
    <w:p w14:paraId="5B4BD6AD">
      <w:pPr>
        <w:spacing w:line="360" w:lineRule="auto"/>
        <w:ind w:firstLine="480" w:firstLineChars="200"/>
        <w:rPr>
          <w:rFonts w:hint="eastAsia" w:ascii="宋体" w:hAnsi="宋体" w:eastAsia="宋体" w:cs="宋体"/>
          <w:sz w:val="24"/>
          <w:highlight w:val="none"/>
          <w:lang w:val="en-US" w:eastAsia="zh-CN"/>
        </w:rPr>
      </w:pPr>
      <w:r>
        <w:rPr>
          <w:rFonts w:hint="eastAsia" w:ascii="宋体" w:hAnsi="宋体" w:eastAsia="宋体" w:cs="宋体"/>
          <w:sz w:val="24"/>
          <w:highlight w:val="none"/>
          <w:lang w:eastAsia="zh-CN"/>
        </w:rPr>
        <w:t>1.</w:t>
      </w:r>
      <w:r>
        <w:rPr>
          <w:rFonts w:hint="eastAsia" w:ascii="宋体" w:hAnsi="宋体" w:eastAsia="宋体" w:cs="宋体"/>
          <w:sz w:val="24"/>
          <w:highlight w:val="none"/>
          <w:lang w:val="en-US" w:eastAsia="zh-CN"/>
        </w:rPr>
        <w:t>3芯盒修改的技术要求</w:t>
      </w:r>
    </w:p>
    <w:p w14:paraId="6F5F4C29">
      <w:pPr>
        <w:spacing w:line="360" w:lineRule="auto"/>
        <w:ind w:firstLine="480" w:firstLineChars="200"/>
        <w:rPr>
          <w:rFonts w:hint="eastAsia" w:ascii="宋体" w:hAnsi="宋体" w:eastAsia="宋体" w:cs="宋体"/>
          <w:sz w:val="24"/>
          <w:highlight w:val="none"/>
          <w:lang w:val="en-US" w:eastAsia="zh-CN"/>
        </w:rPr>
      </w:pPr>
      <w:r>
        <w:rPr>
          <w:rFonts w:hint="eastAsia" w:ascii="宋体" w:hAnsi="宋体" w:eastAsia="宋体" w:cs="宋体"/>
          <w:sz w:val="24"/>
          <w:highlight w:val="none"/>
          <w:lang w:val="en-US" w:eastAsia="zh-CN"/>
        </w:rPr>
        <w:t>1.3.1缸体、缸盖芯盒的修改：芯盒模块本体材料选用3Cr2Mo(P20)或者4Cr5MoSiVl(H13)优质模具钢（修改说明明确材质），精加工前进行热处理，表面硬度P20材质硬度≥35HRC，H13材质硬度：≥38HRC，射砂板、吹气板材质选用QT500-7材质，顶芯杆、射砂杆、射砂嘴等选用45钢，热处理硬度 30-35HRC，复位杆、导向杆、定位销（块）套选用T10A，热处理硬度50-55HRC。</w:t>
      </w:r>
    </w:p>
    <w:p w14:paraId="4DAC731E">
      <w:pPr>
        <w:spacing w:line="360" w:lineRule="auto"/>
        <w:ind w:firstLine="480" w:firstLineChars="200"/>
        <w:rPr>
          <w:rFonts w:hint="eastAsia" w:ascii="宋体" w:hAnsi="宋体" w:eastAsia="宋体" w:cs="宋体"/>
          <w:sz w:val="24"/>
          <w:highlight w:val="none"/>
          <w:lang w:val="en-US" w:eastAsia="zh-CN"/>
        </w:rPr>
      </w:pPr>
      <w:r>
        <w:rPr>
          <w:rFonts w:hint="eastAsia" w:ascii="宋体" w:hAnsi="宋体" w:eastAsia="宋体" w:cs="宋体"/>
          <w:sz w:val="24"/>
          <w:highlight w:val="none"/>
          <w:lang w:val="en-US" w:eastAsia="zh-CN"/>
        </w:rPr>
        <w:t>1.3.2桥壳、支架芯盒的修改：芯盒模块本体材料选用选用HT250材质，射砂板、吹气板、顶板压板等材质选用45或者Q235A；顶芯杆、射砂杆、射砂嘴等选用45钢，热处理硬度 30-35HRC，复位杆、导向杆、定位销（块）套选用T10A，热处理硬度50-55HRC。</w:t>
      </w:r>
    </w:p>
    <w:p w14:paraId="57716C80">
      <w:pPr>
        <w:spacing w:line="360" w:lineRule="auto"/>
        <w:ind w:firstLine="480" w:firstLineChars="200"/>
        <w:rPr>
          <w:rFonts w:hint="eastAsia" w:ascii="宋体" w:hAnsi="宋体" w:eastAsia="宋体" w:cs="宋体"/>
          <w:sz w:val="24"/>
          <w:highlight w:val="none"/>
          <w:lang w:val="en-US" w:eastAsia="zh-CN"/>
        </w:rPr>
      </w:pPr>
      <w:r>
        <w:rPr>
          <w:rFonts w:hint="eastAsia" w:ascii="宋体" w:hAnsi="宋体" w:eastAsia="宋体" w:cs="宋体"/>
          <w:sz w:val="24"/>
          <w:highlight w:val="none"/>
          <w:lang w:val="en-US" w:eastAsia="zh-CN"/>
        </w:rPr>
        <w:t>1.3.3当制芯设备为MLA40A制芯机时：MLA40A制芯机射砂板和吹气板选用锻铝LD6，并配带射砂圈支撑柱。</w:t>
      </w:r>
    </w:p>
    <w:p w14:paraId="7BC023CB">
      <w:pPr>
        <w:spacing w:line="360" w:lineRule="auto"/>
        <w:ind w:firstLine="480" w:firstLineChars="200"/>
        <w:rPr>
          <w:rFonts w:hint="eastAsia" w:ascii="宋体" w:hAnsi="宋体" w:eastAsia="宋体" w:cs="宋体"/>
          <w:sz w:val="24"/>
          <w:highlight w:val="none"/>
          <w:lang w:val="en-US" w:eastAsia="zh-CN"/>
        </w:rPr>
      </w:pPr>
      <w:r>
        <w:rPr>
          <w:rFonts w:hint="eastAsia" w:ascii="宋体" w:hAnsi="宋体" w:eastAsia="宋体" w:cs="宋体"/>
          <w:sz w:val="24"/>
          <w:highlight w:val="none"/>
          <w:lang w:val="en-US" w:eastAsia="zh-CN"/>
        </w:rPr>
        <w:t>1.3.4模块材料应采用电弧炉或其他特种冶金设备冶炼，并尽量采用炉外精炼钢。模块表面应光洁，不得有影响模具性能的缺陷，不允许有白点、裂纹、缩孔等缺陷。</w:t>
      </w:r>
    </w:p>
    <w:p w14:paraId="0CCAEB14">
      <w:pPr>
        <w:spacing w:line="360" w:lineRule="auto"/>
        <w:ind w:firstLine="480" w:firstLineChars="200"/>
        <w:rPr>
          <w:rFonts w:hint="eastAsia" w:ascii="宋体" w:hAnsi="宋体" w:eastAsia="宋体" w:cs="宋体"/>
          <w:sz w:val="24"/>
          <w:highlight w:val="none"/>
          <w:lang w:val="en-US" w:eastAsia="zh-CN"/>
        </w:rPr>
      </w:pPr>
      <w:r>
        <w:rPr>
          <w:rFonts w:hint="eastAsia" w:ascii="宋体" w:hAnsi="宋体" w:eastAsia="宋体" w:cs="宋体"/>
          <w:sz w:val="24"/>
          <w:highlight w:val="none"/>
          <w:lang w:val="en-US" w:eastAsia="zh-CN"/>
        </w:rPr>
        <w:t>1.3.5缸体、缸盖排气塞选用高度7mm的钢排，桥壳、支架等其余产品选用高度7mm的铜排，网格间隙：0.3±0.05mm，安装时高出芯盒表面0.05-0.1mm，局部位置根据工艺需要设计排气镶块结构，排气镶块网格间隙0.3±0.05mm，装配间隙：≤0.05mm。背面做镂空设计，排气位置壁厚4-6mm。</w:t>
      </w:r>
    </w:p>
    <w:p w14:paraId="06E37533">
      <w:pPr>
        <w:spacing w:line="360" w:lineRule="auto"/>
        <w:ind w:firstLine="480" w:firstLineChars="200"/>
        <w:rPr>
          <w:rFonts w:hint="eastAsia" w:ascii="宋体" w:hAnsi="宋体" w:eastAsia="宋体" w:cs="宋体"/>
          <w:sz w:val="24"/>
          <w:highlight w:val="none"/>
          <w:lang w:val="en-US" w:eastAsia="zh-CN"/>
        </w:rPr>
      </w:pPr>
      <w:r>
        <w:rPr>
          <w:rFonts w:hint="eastAsia" w:ascii="宋体" w:hAnsi="宋体" w:eastAsia="宋体" w:cs="宋体"/>
          <w:sz w:val="24"/>
          <w:highlight w:val="none"/>
          <w:lang w:val="en-US" w:eastAsia="zh-CN"/>
        </w:rPr>
        <w:t>1.3.6修改结构根据修改内容可以选择焊补工艺或者镶块结构，投标时备注修改工艺方法。</w:t>
      </w:r>
    </w:p>
    <w:p w14:paraId="37A9AE88">
      <w:pPr>
        <w:spacing w:line="360" w:lineRule="auto"/>
        <w:ind w:firstLine="480" w:firstLineChars="200"/>
        <w:rPr>
          <w:rFonts w:hint="eastAsia" w:ascii="宋体" w:hAnsi="宋体" w:eastAsia="宋体" w:cs="宋体"/>
          <w:sz w:val="24"/>
          <w:highlight w:val="none"/>
          <w:lang w:val="en-US" w:eastAsia="zh-CN"/>
        </w:rPr>
      </w:pPr>
      <w:r>
        <w:rPr>
          <w:rFonts w:hint="eastAsia" w:ascii="宋体" w:hAnsi="宋体" w:eastAsia="宋体" w:cs="宋体"/>
          <w:sz w:val="24"/>
          <w:highlight w:val="none"/>
          <w:lang w:val="en-US" w:eastAsia="zh-CN"/>
        </w:rPr>
        <w:t>1.3.7芯盒成型面加工偏差±0.10mm，表面粗糙度：Ra1.6,上下型板加工偏差：±0.12mm，表面粗糙度：Ra1.6，芯盒分盒面采用研配工艺，保证精度≤0.05mm。</w:t>
      </w:r>
    </w:p>
    <w:p w14:paraId="36E7FB83">
      <w:pPr>
        <w:spacing w:line="360" w:lineRule="auto"/>
        <w:ind w:firstLine="480" w:firstLineChars="200"/>
        <w:rPr>
          <w:rFonts w:hint="eastAsia" w:ascii="宋体" w:hAnsi="宋体" w:eastAsia="宋体" w:cs="宋体"/>
          <w:sz w:val="24"/>
          <w:highlight w:val="none"/>
          <w:lang w:val="en-US" w:eastAsia="zh-CN"/>
        </w:rPr>
      </w:pPr>
      <w:r>
        <w:rPr>
          <w:rFonts w:hint="eastAsia" w:ascii="宋体" w:hAnsi="宋体" w:eastAsia="宋体" w:cs="宋体"/>
          <w:sz w:val="24"/>
          <w:highlight w:val="none"/>
          <w:lang w:val="en-US" w:eastAsia="zh-CN"/>
        </w:rPr>
        <w:t>1.3.8工装修改位置寿命：射砂嘴下方易磨损位置使用寿命不得低于3万次，其余正常位置不低于20万次，在使用寿命周期内，出现因卖方原因导致工装损坏、异常磨损、无法正常使用等影响使用寿命情形的，将按照济南成型厂《质量索赔追偿管理流程》索赔。</w:t>
      </w:r>
    </w:p>
    <w:p w14:paraId="7B0E696E">
      <w:pPr>
        <w:spacing w:line="360" w:lineRule="auto"/>
        <w:ind w:firstLine="480" w:firstLineChars="200"/>
        <w:rPr>
          <w:rFonts w:hint="eastAsia" w:ascii="宋体" w:hAnsi="宋体" w:eastAsia="宋体" w:cs="宋体"/>
          <w:sz w:val="24"/>
          <w:highlight w:val="none"/>
          <w:lang w:val="en-US" w:eastAsia="zh-CN"/>
        </w:rPr>
      </w:pPr>
      <w:r>
        <w:rPr>
          <w:rFonts w:hint="eastAsia" w:ascii="宋体" w:hAnsi="宋体" w:eastAsia="宋体" w:cs="宋体"/>
          <w:sz w:val="24"/>
          <w:highlight w:val="none"/>
          <w:lang w:val="en-US" w:eastAsia="zh-CN"/>
        </w:rPr>
        <w:t>1.3.9芯盒用橡胶密封件优先选用济南成型厂已有的型号和规格，密封条选用中空结构，工装交付时需提供一定数量的备件，以备调试时更换。</w:t>
      </w:r>
    </w:p>
    <w:p w14:paraId="6BF7181A">
      <w:pPr>
        <w:spacing w:line="360" w:lineRule="auto"/>
        <w:ind w:firstLine="480" w:firstLineChars="200"/>
        <w:rPr>
          <w:rFonts w:hint="eastAsia" w:ascii="宋体" w:hAnsi="宋体" w:eastAsia="宋体" w:cs="宋体"/>
          <w:sz w:val="24"/>
          <w:highlight w:val="none"/>
          <w:lang w:val="en-US" w:eastAsia="zh-CN"/>
        </w:rPr>
      </w:pPr>
      <w:r>
        <w:rPr>
          <w:rFonts w:hint="eastAsia" w:ascii="宋体" w:hAnsi="宋体" w:eastAsia="宋体" w:cs="宋体"/>
          <w:sz w:val="24"/>
          <w:highlight w:val="none"/>
          <w:lang w:val="en-US" w:eastAsia="zh-CN"/>
        </w:rPr>
        <w:t>1.3.10</w:t>
      </w:r>
      <w:r>
        <w:rPr>
          <w:rFonts w:hint="eastAsia" w:ascii="宋体" w:hAnsi="宋体" w:eastAsia="宋体" w:cs="宋体"/>
          <w:sz w:val="24"/>
          <w:highlight w:val="none"/>
          <w:lang w:eastAsia="zh-CN"/>
        </w:rPr>
        <w:t>铭牌标识、产品图号、生产日期、班次标识等信息按照</w:t>
      </w:r>
      <w:r>
        <w:rPr>
          <w:rFonts w:hint="eastAsia" w:ascii="宋体" w:hAnsi="宋体" w:eastAsia="宋体" w:cs="宋体"/>
          <w:sz w:val="24"/>
          <w:highlight w:val="none"/>
          <w:lang w:val="en-US" w:eastAsia="zh-CN"/>
        </w:rPr>
        <w:t>买</w:t>
      </w:r>
      <w:r>
        <w:rPr>
          <w:rFonts w:hint="eastAsia" w:ascii="宋体" w:hAnsi="宋体" w:eastAsia="宋体" w:cs="宋体"/>
          <w:sz w:val="24"/>
          <w:highlight w:val="none"/>
          <w:lang w:eastAsia="zh-CN"/>
        </w:rPr>
        <w:t>方提供的要求进行设计、制作；标识中的字体为宋体，字体大小按照买方提供的要求设计、制作，字号字槽按照字体大小对应制作</w:t>
      </w:r>
      <w:r>
        <w:rPr>
          <w:rFonts w:hint="eastAsia" w:ascii="宋体" w:hAnsi="宋体" w:eastAsia="宋体" w:cs="宋体"/>
          <w:sz w:val="24"/>
          <w:highlight w:val="none"/>
          <w:lang w:val="en-US" w:eastAsia="zh-CN"/>
        </w:rPr>
        <w:t>。</w:t>
      </w:r>
    </w:p>
    <w:p w14:paraId="5805294C">
      <w:pPr>
        <w:spacing w:line="360" w:lineRule="auto"/>
        <w:ind w:firstLine="480" w:firstLineChars="200"/>
        <w:rPr>
          <w:rFonts w:hint="eastAsia" w:ascii="宋体" w:hAnsi="宋体" w:eastAsia="宋体" w:cs="宋体"/>
          <w:sz w:val="24"/>
          <w:highlight w:val="none"/>
          <w:lang w:eastAsia="zh-CN"/>
        </w:rPr>
      </w:pPr>
      <w:r>
        <w:rPr>
          <w:rFonts w:hint="eastAsia" w:ascii="宋体" w:hAnsi="宋体" w:eastAsia="宋体" w:cs="宋体"/>
          <w:sz w:val="24"/>
          <w:highlight w:val="none"/>
          <w:lang w:val="en-US" w:eastAsia="zh-CN"/>
        </w:rPr>
        <w:t>1.4.</w:t>
      </w:r>
      <w:r>
        <w:rPr>
          <w:rFonts w:hint="eastAsia" w:ascii="宋体" w:hAnsi="宋体" w:eastAsia="宋体" w:cs="宋体"/>
          <w:sz w:val="24"/>
          <w:highlight w:val="none"/>
          <w:lang w:eastAsia="zh-CN"/>
        </w:rPr>
        <w:t>型板修改的技术要求</w:t>
      </w:r>
    </w:p>
    <w:p w14:paraId="69199E2E">
      <w:pPr>
        <w:spacing w:line="360" w:lineRule="auto"/>
        <w:ind w:firstLine="480" w:firstLineChars="200"/>
        <w:rPr>
          <w:rFonts w:hint="eastAsia" w:ascii="宋体" w:hAnsi="宋体" w:eastAsia="宋体" w:cs="宋体"/>
          <w:sz w:val="24"/>
          <w:highlight w:val="none"/>
          <w:lang w:val="en-US" w:eastAsia="zh-CN"/>
        </w:rPr>
      </w:pPr>
      <w:r>
        <w:rPr>
          <w:rFonts w:hint="eastAsia" w:ascii="宋体" w:hAnsi="宋体" w:eastAsia="宋体" w:cs="宋体"/>
          <w:sz w:val="24"/>
          <w:highlight w:val="none"/>
          <w:lang w:val="en-US" w:eastAsia="zh-CN"/>
        </w:rPr>
        <w:t>1.4.1</w:t>
      </w:r>
      <w:r>
        <w:rPr>
          <w:rFonts w:hint="eastAsia" w:ascii="宋体" w:hAnsi="宋体" w:eastAsia="宋体" w:cs="宋体"/>
          <w:sz w:val="24"/>
          <w:highlight w:val="none"/>
          <w:lang w:eastAsia="zh-CN"/>
        </w:rPr>
        <w:t>缸体、缸盖模样材料优先选用4Cr5MoSiVl(H13)优质模具钢或者3Cr2Mo(P20)优质模具钢，表面硬度</w:t>
      </w:r>
      <w:r>
        <w:rPr>
          <w:rFonts w:hint="eastAsia" w:ascii="宋体" w:hAnsi="宋体" w:eastAsia="宋体" w:cs="宋体"/>
          <w:sz w:val="24"/>
          <w:highlight w:val="none"/>
          <w:lang w:val="en-US" w:eastAsia="zh-CN"/>
        </w:rPr>
        <w:t>35-40HRC；上下模底板材质选用QT500-7；</w:t>
      </w:r>
    </w:p>
    <w:p w14:paraId="254F262C">
      <w:pPr>
        <w:spacing w:line="360" w:lineRule="auto"/>
        <w:ind w:firstLine="480" w:firstLineChars="200"/>
        <w:rPr>
          <w:rFonts w:hint="eastAsia" w:ascii="宋体" w:hAnsi="宋体" w:eastAsia="宋体" w:cs="宋体"/>
          <w:sz w:val="24"/>
          <w:highlight w:val="none"/>
          <w:lang w:val="en-US" w:eastAsia="zh-CN"/>
        </w:rPr>
      </w:pPr>
      <w:r>
        <w:rPr>
          <w:rFonts w:hint="eastAsia" w:ascii="宋体" w:hAnsi="宋体" w:eastAsia="宋体" w:cs="宋体"/>
          <w:sz w:val="24"/>
          <w:highlight w:val="none"/>
          <w:lang w:val="en-US" w:eastAsia="zh-CN"/>
        </w:rPr>
        <w:t>1.4.2桥壳、支架等其余产品模样材质选用HT250材质，表面硬度达到170-220HB，上下模底板材质选用QT500-7；</w:t>
      </w:r>
    </w:p>
    <w:p w14:paraId="79F6A645">
      <w:pPr>
        <w:spacing w:line="360" w:lineRule="auto"/>
        <w:ind w:firstLine="480" w:firstLineChars="200"/>
        <w:rPr>
          <w:rFonts w:hint="eastAsia" w:ascii="宋体" w:hAnsi="宋体" w:eastAsia="宋体" w:cs="宋体"/>
          <w:sz w:val="24"/>
          <w:highlight w:val="none"/>
          <w:lang w:val="en-US" w:eastAsia="zh-CN"/>
        </w:rPr>
      </w:pPr>
      <w:r>
        <w:rPr>
          <w:rFonts w:hint="eastAsia" w:ascii="宋体" w:hAnsi="宋体" w:eastAsia="宋体" w:cs="宋体"/>
          <w:sz w:val="24"/>
          <w:highlight w:val="none"/>
          <w:lang w:val="en-US" w:eastAsia="zh-CN"/>
        </w:rPr>
        <w:t>1.4.3其他配件：气针选用65Mn材质，热处理硬度28-32HRC，装配结构为型板背面紧固方式。定位销/套选用T10A材质。</w:t>
      </w:r>
    </w:p>
    <w:p w14:paraId="1C3901DA">
      <w:pPr>
        <w:spacing w:line="360" w:lineRule="auto"/>
        <w:ind w:firstLine="480" w:firstLineChars="200"/>
        <w:rPr>
          <w:rFonts w:hint="eastAsia" w:ascii="宋体" w:hAnsi="宋体" w:eastAsia="宋体" w:cs="宋体"/>
          <w:sz w:val="24"/>
          <w:highlight w:val="none"/>
          <w:lang w:eastAsia="zh-CN"/>
        </w:rPr>
      </w:pPr>
      <w:r>
        <w:rPr>
          <w:rFonts w:hint="eastAsia" w:ascii="宋体" w:hAnsi="宋体" w:eastAsia="宋体" w:cs="宋体"/>
          <w:sz w:val="24"/>
          <w:highlight w:val="none"/>
          <w:lang w:val="en-US" w:eastAsia="zh-CN"/>
        </w:rPr>
        <w:t>1.4</w:t>
      </w:r>
      <w:r>
        <w:rPr>
          <w:rFonts w:hint="eastAsia" w:ascii="宋体" w:hAnsi="宋体" w:eastAsia="宋体" w:cs="宋体"/>
          <w:sz w:val="24"/>
          <w:highlight w:val="none"/>
          <w:lang w:eastAsia="zh-CN"/>
        </w:rPr>
        <w:t>.</w:t>
      </w:r>
      <w:r>
        <w:rPr>
          <w:rFonts w:hint="eastAsia" w:ascii="宋体" w:hAnsi="宋体" w:eastAsia="宋体" w:cs="宋体"/>
          <w:sz w:val="24"/>
          <w:highlight w:val="none"/>
          <w:lang w:val="en-US" w:eastAsia="zh-CN"/>
        </w:rPr>
        <w:t>4</w:t>
      </w:r>
      <w:r>
        <w:rPr>
          <w:rFonts w:hint="eastAsia" w:ascii="宋体" w:hAnsi="宋体" w:eastAsia="宋体" w:cs="宋体"/>
          <w:sz w:val="24"/>
          <w:highlight w:val="none"/>
          <w:lang w:eastAsia="zh-CN"/>
        </w:rPr>
        <w:t>型板（含模样）平面度＜0.2mm。</w:t>
      </w:r>
    </w:p>
    <w:p w14:paraId="76B95C38">
      <w:pPr>
        <w:spacing w:line="360" w:lineRule="auto"/>
        <w:ind w:firstLine="480" w:firstLineChars="200"/>
        <w:rPr>
          <w:rFonts w:hint="eastAsia" w:ascii="宋体" w:hAnsi="宋体" w:eastAsia="宋体" w:cs="宋体"/>
          <w:sz w:val="24"/>
          <w:highlight w:val="none"/>
          <w:lang w:eastAsia="zh-CN"/>
        </w:rPr>
      </w:pPr>
      <w:r>
        <w:rPr>
          <w:rFonts w:hint="eastAsia" w:ascii="宋体" w:hAnsi="宋体" w:eastAsia="宋体" w:cs="宋体"/>
          <w:sz w:val="24"/>
          <w:highlight w:val="none"/>
          <w:lang w:val="en-US" w:eastAsia="zh-CN"/>
        </w:rPr>
        <w:t>1.4</w:t>
      </w:r>
      <w:r>
        <w:rPr>
          <w:rFonts w:hint="eastAsia" w:ascii="宋体" w:hAnsi="宋体" w:eastAsia="宋体" w:cs="宋体"/>
          <w:sz w:val="24"/>
          <w:highlight w:val="none"/>
          <w:lang w:eastAsia="zh-CN"/>
        </w:rPr>
        <w:t>.</w:t>
      </w:r>
      <w:r>
        <w:rPr>
          <w:rFonts w:hint="eastAsia" w:ascii="宋体" w:hAnsi="宋体" w:eastAsia="宋体" w:cs="宋体"/>
          <w:sz w:val="24"/>
          <w:highlight w:val="none"/>
          <w:lang w:val="en-US" w:eastAsia="zh-CN"/>
        </w:rPr>
        <w:t>5</w:t>
      </w:r>
      <w:r>
        <w:rPr>
          <w:rFonts w:hint="eastAsia" w:ascii="宋体" w:hAnsi="宋体" w:eastAsia="宋体" w:cs="宋体"/>
          <w:sz w:val="24"/>
          <w:highlight w:val="none"/>
          <w:lang w:eastAsia="zh-CN"/>
        </w:rPr>
        <w:t>铭牌标识、产品图号、生产日期、班次标识等信息按照</w:t>
      </w:r>
      <w:r>
        <w:rPr>
          <w:rFonts w:hint="eastAsia" w:ascii="宋体" w:hAnsi="宋体" w:eastAsia="宋体" w:cs="宋体"/>
          <w:sz w:val="24"/>
          <w:highlight w:val="none"/>
          <w:lang w:val="en-US" w:eastAsia="zh-CN"/>
        </w:rPr>
        <w:t>买</w:t>
      </w:r>
      <w:r>
        <w:rPr>
          <w:rFonts w:hint="eastAsia" w:ascii="宋体" w:hAnsi="宋体" w:eastAsia="宋体" w:cs="宋体"/>
          <w:sz w:val="24"/>
          <w:highlight w:val="none"/>
          <w:lang w:eastAsia="zh-CN"/>
        </w:rPr>
        <w:t>方提供的要求进行设计、制作；标识中的字体为宋体，字体大小按照买方提供的要求设计、制作，字号字槽按照字体大小对应制作。</w:t>
      </w:r>
    </w:p>
    <w:p w14:paraId="067AA6A8">
      <w:pPr>
        <w:spacing w:line="360" w:lineRule="auto"/>
        <w:ind w:firstLine="480" w:firstLineChars="200"/>
        <w:rPr>
          <w:rFonts w:hint="eastAsia" w:ascii="宋体" w:hAnsi="宋体" w:eastAsia="宋体" w:cs="宋体"/>
          <w:sz w:val="24"/>
          <w:highlight w:val="none"/>
          <w:lang w:eastAsia="zh-CN"/>
        </w:rPr>
      </w:pPr>
      <w:r>
        <w:rPr>
          <w:rFonts w:hint="eastAsia" w:ascii="宋体" w:hAnsi="宋体" w:eastAsia="宋体" w:cs="宋体"/>
          <w:sz w:val="24"/>
          <w:highlight w:val="none"/>
          <w:lang w:val="en-US" w:eastAsia="zh-CN"/>
        </w:rPr>
        <w:t>1.4</w:t>
      </w:r>
      <w:r>
        <w:rPr>
          <w:rFonts w:hint="eastAsia" w:ascii="宋体" w:hAnsi="宋体" w:eastAsia="宋体" w:cs="宋体"/>
          <w:sz w:val="24"/>
          <w:highlight w:val="none"/>
          <w:lang w:eastAsia="zh-CN"/>
        </w:rPr>
        <w:t>.</w:t>
      </w:r>
      <w:r>
        <w:rPr>
          <w:rFonts w:hint="eastAsia" w:ascii="宋体" w:hAnsi="宋体" w:eastAsia="宋体" w:cs="宋体"/>
          <w:sz w:val="24"/>
          <w:highlight w:val="none"/>
          <w:lang w:val="en-US" w:eastAsia="zh-CN"/>
        </w:rPr>
        <w:t>6</w:t>
      </w:r>
      <w:r>
        <w:rPr>
          <w:rFonts w:hint="eastAsia" w:ascii="宋体" w:hAnsi="宋体" w:eastAsia="宋体" w:cs="宋体"/>
          <w:sz w:val="24"/>
          <w:highlight w:val="none"/>
          <w:lang w:eastAsia="zh-CN"/>
        </w:rPr>
        <w:t>上下型板加工偏差：±0.12mm，表面粗糙度：Ra1.6。</w:t>
      </w:r>
    </w:p>
    <w:p w14:paraId="17C74257">
      <w:pPr>
        <w:spacing w:line="360" w:lineRule="auto"/>
        <w:ind w:firstLine="480" w:firstLineChars="200"/>
        <w:rPr>
          <w:rFonts w:hint="eastAsia" w:ascii="宋体" w:hAnsi="宋体" w:eastAsia="宋体" w:cs="宋体"/>
          <w:sz w:val="24"/>
          <w:highlight w:val="none"/>
          <w:lang w:eastAsia="zh-CN"/>
        </w:rPr>
      </w:pPr>
      <w:r>
        <w:rPr>
          <w:rFonts w:hint="eastAsia" w:ascii="宋体" w:hAnsi="宋体" w:eastAsia="宋体" w:cs="宋体"/>
          <w:sz w:val="24"/>
          <w:highlight w:val="none"/>
          <w:lang w:val="en-US" w:eastAsia="zh-CN"/>
        </w:rPr>
        <w:t>1.4.7</w:t>
      </w:r>
      <w:r>
        <w:rPr>
          <w:rFonts w:hint="eastAsia" w:ascii="宋体" w:hAnsi="宋体" w:eastAsia="宋体" w:cs="宋体"/>
          <w:sz w:val="24"/>
          <w:highlight w:val="none"/>
          <w:lang w:eastAsia="zh-CN"/>
        </w:rPr>
        <w:t>工装修改修复位置的使用寿命不得低于30万次。在使用寿命周期内，出现因卖方原因导致工装损坏、异常磨损、无法正常使用等影响使用寿命情形的，将按照济南成型厂《质量索赔追偿管理流程》索赔。</w:t>
      </w:r>
      <w:bookmarkStart w:id="19" w:name="_Toc532222679"/>
      <w:bookmarkStart w:id="20" w:name="_Toc37792654"/>
    </w:p>
    <w:p w14:paraId="2365673F">
      <w:pPr>
        <w:spacing w:line="360" w:lineRule="auto"/>
        <w:ind w:firstLine="480" w:firstLineChars="200"/>
        <w:rPr>
          <w:rFonts w:hint="eastAsia" w:ascii="宋体" w:hAnsi="宋体" w:eastAsia="宋体" w:cs="宋体"/>
          <w:sz w:val="24"/>
          <w:highlight w:val="none"/>
          <w:lang w:eastAsia="zh-CN"/>
        </w:rPr>
      </w:pPr>
      <w:r>
        <w:rPr>
          <w:rFonts w:hint="eastAsia" w:ascii="宋体" w:hAnsi="宋体" w:eastAsia="宋体" w:cs="宋体"/>
          <w:sz w:val="24"/>
          <w:highlight w:val="none"/>
          <w:lang w:val="en-US" w:eastAsia="zh-CN"/>
        </w:rPr>
        <w:t>2.</w:t>
      </w:r>
      <w:r>
        <w:rPr>
          <w:rFonts w:hint="eastAsia" w:ascii="宋体" w:hAnsi="宋体" w:eastAsia="宋体" w:cs="宋体"/>
          <w:sz w:val="24"/>
          <w:highlight w:val="none"/>
          <w:lang w:eastAsia="zh-CN"/>
        </w:rPr>
        <w:t>用户生产条件</w:t>
      </w:r>
      <w:bookmarkEnd w:id="19"/>
      <w:bookmarkEnd w:id="20"/>
      <w:r>
        <w:rPr>
          <w:rFonts w:hint="eastAsia" w:ascii="宋体" w:hAnsi="宋体" w:eastAsia="宋体" w:cs="宋体"/>
          <w:sz w:val="24"/>
          <w:highlight w:val="none"/>
          <w:lang w:eastAsia="zh-CN"/>
        </w:rPr>
        <w:t xml:space="preserve"> </w:t>
      </w:r>
      <w:r>
        <w:rPr>
          <w:rFonts w:hint="eastAsia" w:ascii="宋体" w:hAnsi="宋体" w:eastAsia="宋体" w:cs="宋体"/>
          <w:sz w:val="24"/>
          <w:highlight w:val="none"/>
          <w:lang w:eastAsia="zh-CN"/>
        </w:rPr>
        <w:tab/>
      </w:r>
    </w:p>
    <w:p w14:paraId="2ACAF570">
      <w:pPr>
        <w:spacing w:line="360" w:lineRule="auto"/>
        <w:ind w:firstLine="480" w:firstLineChars="200"/>
        <w:rPr>
          <w:rFonts w:hint="eastAsia" w:ascii="宋体" w:hAnsi="宋体" w:eastAsia="宋体" w:cs="宋体"/>
          <w:sz w:val="24"/>
          <w:highlight w:val="none"/>
          <w:lang w:eastAsia="zh-CN"/>
        </w:rPr>
      </w:pPr>
      <w:r>
        <w:rPr>
          <w:rFonts w:hint="eastAsia" w:ascii="宋体" w:hAnsi="宋体" w:eastAsia="宋体" w:cs="宋体"/>
          <w:sz w:val="24"/>
          <w:highlight w:val="none"/>
          <w:lang w:val="en-US" w:eastAsia="zh-CN"/>
        </w:rPr>
        <w:t>2.</w:t>
      </w:r>
      <w:r>
        <w:rPr>
          <w:rFonts w:hint="eastAsia" w:ascii="宋体" w:hAnsi="宋体" w:eastAsia="宋体" w:cs="宋体"/>
          <w:sz w:val="24"/>
          <w:highlight w:val="none"/>
          <w:lang w:eastAsia="zh-CN"/>
        </w:rPr>
        <w:t>1 车间外部自然环境条件</w:t>
      </w:r>
    </w:p>
    <w:p w14:paraId="68E6949F">
      <w:pPr>
        <w:spacing w:line="360" w:lineRule="auto"/>
        <w:ind w:firstLine="480" w:firstLineChars="200"/>
        <w:rPr>
          <w:rFonts w:hint="eastAsia" w:ascii="宋体" w:hAnsi="宋体" w:eastAsia="宋体" w:cs="宋体"/>
          <w:sz w:val="24"/>
          <w:highlight w:val="none"/>
          <w:lang w:eastAsia="zh-CN"/>
        </w:rPr>
      </w:pPr>
      <w:r>
        <w:rPr>
          <w:rFonts w:hint="eastAsia" w:ascii="宋体" w:hAnsi="宋体" w:eastAsia="宋体" w:cs="宋体"/>
          <w:sz w:val="24"/>
          <w:highlight w:val="none"/>
          <w:lang w:eastAsia="zh-CN"/>
        </w:rPr>
        <w:t>年平均气温                                15.9℃</w:t>
      </w:r>
    </w:p>
    <w:p w14:paraId="695247FD">
      <w:pPr>
        <w:spacing w:line="360" w:lineRule="auto"/>
        <w:ind w:firstLine="480" w:firstLineChars="200"/>
        <w:rPr>
          <w:rFonts w:hint="eastAsia" w:ascii="宋体" w:hAnsi="宋体" w:eastAsia="宋体" w:cs="宋体"/>
          <w:sz w:val="24"/>
          <w:highlight w:val="none"/>
          <w:lang w:eastAsia="zh-CN"/>
        </w:rPr>
      </w:pPr>
      <w:r>
        <w:rPr>
          <w:rFonts w:hint="eastAsia" w:ascii="宋体" w:hAnsi="宋体" w:eastAsia="宋体" w:cs="宋体"/>
          <w:sz w:val="24"/>
          <w:highlight w:val="none"/>
          <w:lang w:eastAsia="zh-CN"/>
        </w:rPr>
        <w:t>最热月平均气温                            28.1℃</w:t>
      </w:r>
    </w:p>
    <w:p w14:paraId="446BEA87">
      <w:pPr>
        <w:spacing w:line="360" w:lineRule="auto"/>
        <w:ind w:firstLine="480" w:firstLineChars="200"/>
        <w:rPr>
          <w:rFonts w:hint="eastAsia" w:ascii="宋体" w:hAnsi="宋体" w:eastAsia="宋体" w:cs="宋体"/>
          <w:sz w:val="24"/>
          <w:highlight w:val="none"/>
          <w:lang w:eastAsia="zh-CN"/>
        </w:rPr>
      </w:pPr>
      <w:r>
        <w:rPr>
          <w:rFonts w:hint="eastAsia" w:ascii="宋体" w:hAnsi="宋体" w:eastAsia="宋体" w:cs="宋体"/>
          <w:sz w:val="24"/>
          <w:highlight w:val="none"/>
          <w:lang w:eastAsia="zh-CN"/>
        </w:rPr>
        <w:t>最冷月平均气温                             2.5℃</w:t>
      </w:r>
    </w:p>
    <w:p w14:paraId="6AD88DF7">
      <w:pPr>
        <w:spacing w:line="360" w:lineRule="auto"/>
        <w:ind w:firstLine="480" w:firstLineChars="200"/>
        <w:rPr>
          <w:rFonts w:hint="eastAsia" w:ascii="宋体" w:hAnsi="宋体" w:eastAsia="宋体" w:cs="宋体"/>
          <w:sz w:val="24"/>
          <w:highlight w:val="none"/>
          <w:lang w:eastAsia="zh-CN"/>
        </w:rPr>
      </w:pPr>
      <w:r>
        <w:rPr>
          <w:rFonts w:hint="eastAsia" w:ascii="宋体" w:hAnsi="宋体" w:eastAsia="宋体" w:cs="宋体"/>
          <w:sz w:val="24"/>
          <w:highlight w:val="none"/>
          <w:lang w:eastAsia="zh-CN"/>
        </w:rPr>
        <w:t>极端最高气温                              42.5℃</w:t>
      </w:r>
    </w:p>
    <w:p w14:paraId="55FC7E05">
      <w:pPr>
        <w:spacing w:line="360" w:lineRule="auto"/>
        <w:ind w:firstLine="480" w:firstLineChars="200"/>
        <w:rPr>
          <w:rFonts w:hint="eastAsia" w:ascii="宋体" w:hAnsi="宋体" w:eastAsia="宋体" w:cs="宋体"/>
          <w:sz w:val="24"/>
          <w:highlight w:val="none"/>
          <w:lang w:eastAsia="zh-CN"/>
        </w:rPr>
      </w:pPr>
      <w:r>
        <w:rPr>
          <w:rFonts w:hint="eastAsia" w:ascii="宋体" w:hAnsi="宋体" w:eastAsia="宋体" w:cs="宋体"/>
          <w:sz w:val="24"/>
          <w:highlight w:val="none"/>
          <w:lang w:eastAsia="zh-CN"/>
        </w:rPr>
        <w:t xml:space="preserve">极端最低气温                              </w:t>
      </w:r>
      <w:r>
        <w:rPr>
          <w:rFonts w:hint="eastAsia" w:ascii="宋体" w:hAnsi="宋体" w:eastAsia="宋体" w:cs="宋体"/>
          <w:sz w:val="24"/>
          <w:highlight w:val="none"/>
          <w:lang w:val="en-US" w:eastAsia="zh-CN"/>
        </w:rPr>
        <w:t>-</w:t>
      </w:r>
      <w:r>
        <w:rPr>
          <w:rFonts w:hint="eastAsia" w:ascii="宋体" w:hAnsi="宋体" w:eastAsia="宋体" w:cs="宋体"/>
          <w:sz w:val="24"/>
          <w:highlight w:val="none"/>
          <w:lang w:eastAsia="zh-CN"/>
        </w:rPr>
        <w:t>13.1℃</w:t>
      </w:r>
    </w:p>
    <w:p w14:paraId="6C038E29">
      <w:pPr>
        <w:spacing w:line="360" w:lineRule="auto"/>
        <w:ind w:firstLine="480" w:firstLineChars="200"/>
        <w:rPr>
          <w:rFonts w:hint="eastAsia" w:ascii="宋体" w:hAnsi="宋体" w:eastAsia="宋体" w:cs="宋体"/>
          <w:sz w:val="24"/>
          <w:highlight w:val="none"/>
          <w:lang w:eastAsia="zh-CN"/>
        </w:rPr>
      </w:pPr>
      <w:r>
        <w:rPr>
          <w:rFonts w:hint="eastAsia" w:ascii="宋体" w:hAnsi="宋体" w:eastAsia="宋体" w:cs="宋体"/>
          <w:sz w:val="24"/>
          <w:highlight w:val="none"/>
          <w:lang w:eastAsia="zh-CN"/>
        </w:rPr>
        <w:t>年平均相对湿度                            75%</w:t>
      </w:r>
    </w:p>
    <w:p w14:paraId="2E638ACC">
      <w:pPr>
        <w:spacing w:line="360" w:lineRule="auto"/>
        <w:ind w:firstLine="480" w:firstLineChars="200"/>
        <w:rPr>
          <w:rFonts w:hint="eastAsia" w:ascii="宋体" w:hAnsi="宋体" w:eastAsia="宋体" w:cs="宋体"/>
          <w:sz w:val="24"/>
          <w:highlight w:val="none"/>
          <w:lang w:eastAsia="zh-CN"/>
        </w:rPr>
      </w:pPr>
      <w:r>
        <w:rPr>
          <w:rFonts w:hint="eastAsia" w:ascii="宋体" w:hAnsi="宋体" w:eastAsia="宋体" w:cs="宋体"/>
          <w:sz w:val="24"/>
          <w:highlight w:val="none"/>
          <w:lang w:val="en-US" w:eastAsia="zh-CN"/>
        </w:rPr>
        <w:t>2.2</w:t>
      </w:r>
      <w:r>
        <w:rPr>
          <w:rFonts w:hint="eastAsia" w:ascii="宋体" w:hAnsi="宋体" w:eastAsia="宋体" w:cs="宋体"/>
          <w:sz w:val="24"/>
          <w:highlight w:val="none"/>
          <w:lang w:eastAsia="zh-CN"/>
        </w:rPr>
        <w:t xml:space="preserve"> 车间内部环境条件</w:t>
      </w:r>
    </w:p>
    <w:p w14:paraId="4061AFA5">
      <w:pPr>
        <w:spacing w:line="360" w:lineRule="auto"/>
        <w:ind w:firstLine="480" w:firstLineChars="200"/>
        <w:rPr>
          <w:rFonts w:hint="eastAsia" w:ascii="宋体" w:hAnsi="宋体" w:eastAsia="宋体" w:cs="宋体"/>
          <w:sz w:val="24"/>
          <w:highlight w:val="none"/>
          <w:lang w:eastAsia="zh-CN"/>
        </w:rPr>
      </w:pPr>
      <w:r>
        <w:rPr>
          <w:rFonts w:hint="eastAsia" w:ascii="宋体" w:hAnsi="宋体" w:eastAsia="宋体" w:cs="宋体"/>
          <w:sz w:val="24"/>
          <w:highlight w:val="none"/>
          <w:lang w:eastAsia="zh-CN"/>
        </w:rPr>
        <w:t>电源种类及电压：3-380V/220V（±10%）、50HZ（±2%）、AC；</w:t>
      </w:r>
    </w:p>
    <w:p w14:paraId="473D11AB">
      <w:pPr>
        <w:spacing w:line="360" w:lineRule="auto"/>
        <w:ind w:firstLine="480" w:firstLineChars="200"/>
        <w:rPr>
          <w:rFonts w:hint="eastAsia" w:ascii="宋体" w:hAnsi="宋体" w:eastAsia="宋体" w:cs="宋体"/>
          <w:sz w:val="24"/>
          <w:highlight w:val="none"/>
          <w:lang w:eastAsia="zh-CN"/>
        </w:rPr>
      </w:pPr>
      <w:r>
        <w:rPr>
          <w:rFonts w:hint="eastAsia" w:ascii="宋体" w:hAnsi="宋体" w:eastAsia="宋体" w:cs="宋体"/>
          <w:sz w:val="24"/>
          <w:highlight w:val="none"/>
          <w:lang w:eastAsia="zh-CN"/>
        </w:rPr>
        <w:t>压缩空气压力：  ≤0.70Mpa；</w:t>
      </w:r>
    </w:p>
    <w:p w14:paraId="5CB60D93">
      <w:pPr>
        <w:spacing w:line="360" w:lineRule="auto"/>
        <w:ind w:firstLine="480" w:firstLineChars="200"/>
        <w:rPr>
          <w:rFonts w:hint="eastAsia" w:ascii="宋体" w:hAnsi="宋体" w:eastAsia="宋体" w:cs="宋体"/>
          <w:sz w:val="24"/>
          <w:highlight w:val="none"/>
          <w:lang w:eastAsia="zh-CN"/>
        </w:rPr>
      </w:pPr>
      <w:r>
        <w:rPr>
          <w:rFonts w:hint="eastAsia" w:ascii="宋体" w:hAnsi="宋体" w:eastAsia="宋体" w:cs="宋体"/>
          <w:sz w:val="24"/>
          <w:highlight w:val="none"/>
          <w:lang w:eastAsia="zh-CN"/>
        </w:rPr>
        <w:t>供水水质及压力：自来水，≥0.2 Mpa；</w:t>
      </w:r>
    </w:p>
    <w:p w14:paraId="7E56E8F3">
      <w:pPr>
        <w:spacing w:line="360" w:lineRule="auto"/>
        <w:ind w:firstLine="480" w:firstLineChars="200"/>
        <w:rPr>
          <w:rFonts w:hint="eastAsia" w:ascii="宋体" w:hAnsi="宋体" w:eastAsia="宋体" w:cs="宋体"/>
          <w:sz w:val="24"/>
          <w:highlight w:val="none"/>
          <w:lang w:eastAsia="zh-CN"/>
        </w:rPr>
      </w:pPr>
      <w:r>
        <w:rPr>
          <w:rFonts w:hint="eastAsia" w:ascii="宋体" w:hAnsi="宋体" w:eastAsia="宋体" w:cs="宋体"/>
          <w:sz w:val="24"/>
          <w:highlight w:val="none"/>
          <w:lang w:eastAsia="zh-CN"/>
        </w:rPr>
        <w:t xml:space="preserve">室内空气质量：   多尘； </w:t>
      </w:r>
    </w:p>
    <w:p w14:paraId="30D4EA18">
      <w:pPr>
        <w:spacing w:line="360" w:lineRule="auto"/>
        <w:ind w:firstLine="480" w:firstLineChars="200"/>
        <w:rPr>
          <w:rFonts w:hint="eastAsia" w:ascii="宋体" w:hAnsi="宋体" w:eastAsia="宋体" w:cs="宋体"/>
          <w:sz w:val="24"/>
          <w:highlight w:val="none"/>
          <w:lang w:eastAsia="zh-CN"/>
        </w:rPr>
      </w:pPr>
      <w:r>
        <w:rPr>
          <w:rFonts w:hint="eastAsia" w:ascii="宋体" w:hAnsi="宋体" w:eastAsia="宋体" w:cs="宋体"/>
          <w:sz w:val="24"/>
          <w:highlight w:val="none"/>
          <w:lang w:eastAsia="zh-CN"/>
        </w:rPr>
        <w:t>室内气温：5℃～45℃；</w:t>
      </w:r>
    </w:p>
    <w:p w14:paraId="49F9750D">
      <w:pPr>
        <w:spacing w:line="360" w:lineRule="auto"/>
        <w:ind w:firstLine="480" w:firstLineChars="200"/>
        <w:rPr>
          <w:rFonts w:hint="eastAsia" w:ascii="宋体" w:hAnsi="宋体" w:eastAsia="宋体" w:cs="宋体"/>
          <w:sz w:val="24"/>
          <w:highlight w:val="none"/>
          <w:lang w:eastAsia="zh-CN"/>
        </w:rPr>
      </w:pPr>
      <w:r>
        <w:rPr>
          <w:rFonts w:hint="eastAsia" w:ascii="宋体" w:hAnsi="宋体" w:eastAsia="宋体" w:cs="宋体"/>
          <w:sz w:val="24"/>
          <w:highlight w:val="none"/>
          <w:lang w:val="en-US" w:eastAsia="zh-CN"/>
        </w:rPr>
        <w:t>3.</w:t>
      </w:r>
      <w:r>
        <w:rPr>
          <w:rFonts w:hint="eastAsia" w:ascii="宋体" w:hAnsi="宋体" w:eastAsia="宋体" w:cs="宋体"/>
          <w:sz w:val="24"/>
          <w:highlight w:val="none"/>
          <w:lang w:eastAsia="zh-CN"/>
        </w:rPr>
        <w:t>技术更改及技术文件</w:t>
      </w:r>
    </w:p>
    <w:p w14:paraId="06916A03">
      <w:pPr>
        <w:spacing w:line="360" w:lineRule="auto"/>
        <w:ind w:firstLine="480" w:firstLineChars="200"/>
        <w:rPr>
          <w:rFonts w:hint="eastAsia" w:ascii="宋体" w:hAnsi="宋体" w:eastAsia="宋体" w:cs="宋体"/>
          <w:sz w:val="24"/>
          <w:highlight w:val="none"/>
          <w:lang w:eastAsia="zh-CN"/>
        </w:rPr>
      </w:pPr>
      <w:r>
        <w:rPr>
          <w:rFonts w:hint="eastAsia" w:ascii="宋体" w:hAnsi="宋体" w:eastAsia="宋体" w:cs="宋体"/>
          <w:sz w:val="24"/>
          <w:highlight w:val="none"/>
          <w:lang w:val="en-US" w:eastAsia="zh-CN"/>
        </w:rPr>
        <w:t>3</w:t>
      </w:r>
      <w:r>
        <w:rPr>
          <w:rFonts w:hint="eastAsia" w:ascii="宋体" w:hAnsi="宋体" w:eastAsia="宋体" w:cs="宋体"/>
          <w:sz w:val="24"/>
          <w:highlight w:val="none"/>
          <w:lang w:eastAsia="zh-CN"/>
        </w:rPr>
        <w:t>.1如在设计过程中遇到设计更改，买方及时将技术更改通知卖方，卖方应按更改后的技术要求制造订货产品并负责将更改后的铸件图、工装图（三维和二维）等技术文件及时提交给买方。</w:t>
      </w:r>
    </w:p>
    <w:p w14:paraId="5E99F2B9">
      <w:pPr>
        <w:spacing w:line="360" w:lineRule="auto"/>
        <w:ind w:firstLine="480" w:firstLineChars="200"/>
        <w:rPr>
          <w:rFonts w:hint="eastAsia" w:ascii="宋体" w:hAnsi="宋体" w:eastAsia="宋体" w:cs="宋体"/>
          <w:sz w:val="24"/>
          <w:highlight w:val="none"/>
          <w:lang w:eastAsia="zh-CN"/>
        </w:rPr>
      </w:pPr>
      <w:r>
        <w:rPr>
          <w:rFonts w:hint="eastAsia" w:ascii="宋体" w:hAnsi="宋体" w:eastAsia="宋体" w:cs="宋体"/>
          <w:sz w:val="24"/>
          <w:highlight w:val="none"/>
          <w:lang w:val="en-US" w:eastAsia="zh-CN"/>
        </w:rPr>
        <w:t>3.2</w:t>
      </w:r>
      <w:r>
        <w:rPr>
          <w:rFonts w:hint="eastAsia" w:ascii="宋体" w:hAnsi="宋体" w:eastAsia="宋体" w:cs="宋体"/>
          <w:sz w:val="24"/>
          <w:highlight w:val="none"/>
          <w:lang w:eastAsia="zh-CN"/>
        </w:rPr>
        <w:t>卖方不得自行改变双方共同确认的本协议附表中技术资料，如确实需要更改，应事先征得买方同意。</w:t>
      </w:r>
    </w:p>
    <w:p w14:paraId="494091FD">
      <w:pPr>
        <w:spacing w:line="360" w:lineRule="auto"/>
        <w:ind w:firstLine="480" w:firstLineChars="200"/>
        <w:rPr>
          <w:rFonts w:hint="eastAsia" w:ascii="宋体" w:hAnsi="宋体" w:eastAsia="宋体" w:cs="宋体"/>
          <w:sz w:val="24"/>
          <w:highlight w:val="none"/>
          <w:lang w:eastAsia="zh-CN"/>
        </w:rPr>
      </w:pPr>
      <w:r>
        <w:rPr>
          <w:rFonts w:hint="eastAsia" w:ascii="宋体" w:hAnsi="宋体" w:eastAsia="宋体" w:cs="宋体"/>
          <w:sz w:val="24"/>
          <w:highlight w:val="none"/>
          <w:lang w:val="en-US" w:eastAsia="zh-CN"/>
        </w:rPr>
        <w:t>3.3</w:t>
      </w:r>
      <w:r>
        <w:rPr>
          <w:rFonts w:hint="eastAsia" w:ascii="宋体" w:hAnsi="宋体" w:eastAsia="宋体" w:cs="宋体"/>
          <w:sz w:val="24"/>
          <w:highlight w:val="none"/>
          <w:lang w:eastAsia="zh-CN"/>
        </w:rPr>
        <w:t>卖方承诺：符合技术要求只是必要条件，满足使用要求和最终用户的要求是最终目的。</w:t>
      </w:r>
    </w:p>
    <w:p w14:paraId="2D01C774">
      <w:pPr>
        <w:spacing w:line="360" w:lineRule="auto"/>
        <w:ind w:firstLine="480" w:firstLineChars="200"/>
        <w:rPr>
          <w:rFonts w:hint="eastAsia" w:ascii="宋体" w:hAnsi="宋体" w:eastAsia="宋体" w:cs="宋体"/>
          <w:sz w:val="24"/>
          <w:highlight w:val="none"/>
          <w:lang w:val="en-US" w:eastAsia="zh-CN"/>
        </w:rPr>
      </w:pPr>
      <w:r>
        <w:rPr>
          <w:rFonts w:hint="eastAsia" w:ascii="宋体" w:hAnsi="宋体" w:eastAsia="宋体" w:cs="宋体"/>
          <w:sz w:val="24"/>
          <w:highlight w:val="none"/>
          <w:lang w:val="en-US" w:eastAsia="zh-CN"/>
        </w:rPr>
        <w:t>3.4所有工装图纸经买方确认无误后方可进行加工制作。</w:t>
      </w:r>
    </w:p>
    <w:p w14:paraId="78524927">
      <w:pPr>
        <w:spacing w:line="360" w:lineRule="auto"/>
        <w:ind w:firstLine="480" w:firstLineChars="200"/>
        <w:rPr>
          <w:rFonts w:hint="eastAsia" w:ascii="宋体" w:hAnsi="宋体" w:eastAsia="宋体" w:cs="宋体"/>
          <w:sz w:val="24"/>
          <w:highlight w:val="none"/>
          <w:lang w:val="en-US" w:eastAsia="zh-CN"/>
        </w:rPr>
      </w:pPr>
      <w:r>
        <w:rPr>
          <w:rFonts w:hint="eastAsia" w:ascii="宋体" w:hAnsi="宋体" w:eastAsia="宋体" w:cs="宋体"/>
          <w:sz w:val="24"/>
          <w:highlight w:val="none"/>
          <w:lang w:val="en-US" w:eastAsia="zh-CN"/>
        </w:rPr>
        <w:t>3.5修改内容以三维图纸为准，如果选择镶块结构修改，需设计为可更换结构，并提供修改后的镶块二维/三维图纸。</w:t>
      </w:r>
    </w:p>
    <w:p w14:paraId="7E6A909F">
      <w:pPr>
        <w:spacing w:line="360" w:lineRule="auto"/>
        <w:ind w:firstLine="480" w:firstLineChars="200"/>
        <w:rPr>
          <w:rFonts w:hint="eastAsia" w:ascii="宋体" w:hAnsi="宋体" w:eastAsia="宋体" w:cs="宋体"/>
          <w:sz w:val="24"/>
          <w:highlight w:val="none"/>
          <w:lang w:val="en-US" w:eastAsia="zh-CN"/>
        </w:rPr>
      </w:pPr>
      <w:r>
        <w:rPr>
          <w:rFonts w:hint="eastAsia" w:ascii="宋体" w:hAnsi="宋体" w:eastAsia="宋体" w:cs="宋体"/>
          <w:sz w:val="24"/>
          <w:highlight w:val="none"/>
          <w:lang w:val="en-US" w:eastAsia="zh-CN"/>
        </w:rPr>
        <w:t>3.6工装修改过程不得对其余未修改结构和整体工装造成损伤，如果损伤需原样修复并给予经济考核；</w:t>
      </w:r>
    </w:p>
    <w:p w14:paraId="38E667AD">
      <w:pPr>
        <w:spacing w:line="360" w:lineRule="auto"/>
        <w:ind w:firstLine="480" w:firstLineChars="200"/>
        <w:rPr>
          <w:rFonts w:hint="eastAsia" w:ascii="宋体" w:hAnsi="宋体" w:eastAsia="宋体" w:cs="宋体"/>
          <w:sz w:val="24"/>
          <w:highlight w:val="none"/>
          <w:lang w:eastAsia="zh-CN"/>
        </w:rPr>
      </w:pPr>
      <w:r>
        <w:rPr>
          <w:rFonts w:hint="eastAsia" w:ascii="宋体" w:hAnsi="宋体" w:eastAsia="宋体" w:cs="宋体"/>
          <w:sz w:val="24"/>
          <w:highlight w:val="none"/>
          <w:lang w:val="en-US" w:eastAsia="zh-CN"/>
        </w:rPr>
        <w:t>4.</w:t>
      </w:r>
      <w:r>
        <w:rPr>
          <w:rFonts w:hint="eastAsia" w:ascii="宋体" w:hAnsi="宋体" w:eastAsia="宋体" w:cs="宋体"/>
          <w:sz w:val="24"/>
          <w:highlight w:val="none"/>
          <w:lang w:eastAsia="zh-CN"/>
        </w:rPr>
        <w:t>制造过程变更</w:t>
      </w:r>
    </w:p>
    <w:p w14:paraId="59F27105">
      <w:pPr>
        <w:spacing w:line="360" w:lineRule="auto"/>
        <w:ind w:firstLine="480" w:firstLineChars="200"/>
        <w:rPr>
          <w:rFonts w:hint="eastAsia" w:ascii="宋体" w:hAnsi="宋体" w:eastAsia="宋体" w:cs="宋体"/>
          <w:sz w:val="24"/>
          <w:highlight w:val="none"/>
          <w:lang w:eastAsia="zh-CN"/>
        </w:rPr>
      </w:pPr>
      <w:r>
        <w:rPr>
          <w:rFonts w:hint="eastAsia" w:ascii="宋体" w:hAnsi="宋体" w:eastAsia="宋体" w:cs="宋体"/>
          <w:sz w:val="24"/>
          <w:highlight w:val="none"/>
          <w:lang w:val="en-US" w:eastAsia="zh-CN"/>
        </w:rPr>
        <w:t>4</w:t>
      </w:r>
      <w:r>
        <w:rPr>
          <w:rFonts w:hint="eastAsia" w:ascii="宋体" w:hAnsi="宋体" w:eastAsia="宋体" w:cs="宋体"/>
          <w:sz w:val="24"/>
          <w:highlight w:val="none"/>
          <w:lang w:eastAsia="zh-CN"/>
        </w:rPr>
        <w:t>.1卖方必须保证产品在生产制造过程中达到买方规定的质量要求并检测合格。</w:t>
      </w:r>
    </w:p>
    <w:p w14:paraId="68A93982">
      <w:pPr>
        <w:spacing w:line="360" w:lineRule="auto"/>
        <w:ind w:firstLine="480" w:firstLineChars="200"/>
        <w:rPr>
          <w:rFonts w:hint="eastAsia" w:ascii="宋体" w:hAnsi="宋体" w:eastAsia="宋体" w:cs="宋体"/>
          <w:sz w:val="24"/>
          <w:highlight w:val="none"/>
          <w:lang w:eastAsia="zh-CN"/>
        </w:rPr>
      </w:pPr>
      <w:r>
        <w:rPr>
          <w:rFonts w:hint="eastAsia" w:ascii="宋体" w:hAnsi="宋体" w:eastAsia="宋体" w:cs="宋体"/>
          <w:sz w:val="24"/>
          <w:highlight w:val="none"/>
          <w:lang w:val="en-US" w:eastAsia="zh-CN"/>
        </w:rPr>
        <w:t>4</w:t>
      </w:r>
      <w:r>
        <w:rPr>
          <w:rFonts w:hint="eastAsia" w:ascii="宋体" w:hAnsi="宋体" w:eastAsia="宋体" w:cs="宋体"/>
          <w:sz w:val="24"/>
          <w:highlight w:val="none"/>
          <w:lang w:eastAsia="zh-CN"/>
        </w:rPr>
        <w:t>.2买方根据产品质量升级等方面的要求，可向卖方提出对产品进行重新鉴定或认证的要求，卖方应提供足够的产品样本，并配合买方共同完成产品的鉴定或认证工作，其结果双方共享。</w:t>
      </w:r>
    </w:p>
    <w:p w14:paraId="6C33E066">
      <w:pPr>
        <w:spacing w:line="360" w:lineRule="auto"/>
        <w:ind w:firstLine="480" w:firstLineChars="200"/>
        <w:rPr>
          <w:rFonts w:hint="eastAsia" w:ascii="宋体" w:hAnsi="宋体" w:eastAsia="宋体" w:cs="宋体"/>
          <w:sz w:val="24"/>
          <w:highlight w:val="none"/>
          <w:lang w:eastAsia="zh-CN"/>
        </w:rPr>
      </w:pPr>
      <w:r>
        <w:rPr>
          <w:rFonts w:hint="eastAsia" w:ascii="宋体" w:hAnsi="宋体" w:eastAsia="宋体" w:cs="宋体"/>
          <w:sz w:val="24"/>
          <w:highlight w:val="none"/>
          <w:lang w:val="en-US" w:eastAsia="zh-CN"/>
        </w:rPr>
        <w:t>4</w:t>
      </w:r>
      <w:r>
        <w:rPr>
          <w:rFonts w:hint="eastAsia" w:ascii="宋体" w:hAnsi="宋体" w:eastAsia="宋体" w:cs="宋体"/>
          <w:sz w:val="24"/>
          <w:highlight w:val="none"/>
          <w:lang w:eastAsia="zh-CN"/>
        </w:rPr>
        <w:t>.3如果卖方的生产基地、生产工艺、材料或配套厂商发生了改变，则应及时书面报告买方，买方将对产品进行样本鉴定。</w:t>
      </w:r>
    </w:p>
    <w:p w14:paraId="372D6B92">
      <w:pPr>
        <w:spacing w:line="360" w:lineRule="auto"/>
        <w:ind w:firstLine="480" w:firstLineChars="200"/>
        <w:rPr>
          <w:rFonts w:hint="eastAsia" w:ascii="宋体" w:hAnsi="宋体" w:eastAsia="宋体" w:cs="宋体"/>
          <w:sz w:val="24"/>
          <w:highlight w:val="none"/>
          <w:lang w:eastAsia="zh-CN"/>
        </w:rPr>
      </w:pPr>
      <w:r>
        <w:rPr>
          <w:rFonts w:hint="eastAsia" w:ascii="宋体" w:hAnsi="宋体" w:eastAsia="宋体" w:cs="宋体"/>
          <w:sz w:val="24"/>
          <w:highlight w:val="none"/>
          <w:lang w:val="en-US" w:eastAsia="zh-CN"/>
        </w:rPr>
        <w:t>5.</w:t>
      </w:r>
      <w:r>
        <w:rPr>
          <w:rFonts w:hint="eastAsia" w:ascii="宋体" w:hAnsi="宋体" w:eastAsia="宋体" w:cs="宋体"/>
          <w:sz w:val="24"/>
          <w:highlight w:val="none"/>
          <w:lang w:eastAsia="zh-CN"/>
        </w:rPr>
        <w:t>产品包装</w:t>
      </w:r>
    </w:p>
    <w:p w14:paraId="0588C917">
      <w:pPr>
        <w:spacing w:line="360" w:lineRule="auto"/>
        <w:ind w:firstLine="480" w:firstLineChars="200"/>
        <w:rPr>
          <w:rFonts w:hint="eastAsia" w:ascii="宋体" w:hAnsi="宋体" w:eastAsia="宋体" w:cs="宋体"/>
          <w:sz w:val="24"/>
          <w:highlight w:val="none"/>
          <w:lang w:eastAsia="zh-CN"/>
        </w:rPr>
      </w:pPr>
      <w:r>
        <w:rPr>
          <w:rFonts w:hint="eastAsia" w:ascii="宋体" w:hAnsi="宋体" w:eastAsia="宋体" w:cs="宋体"/>
          <w:sz w:val="24"/>
          <w:highlight w:val="none"/>
          <w:lang w:val="en-US" w:eastAsia="zh-CN"/>
        </w:rPr>
        <w:t>5</w:t>
      </w:r>
      <w:r>
        <w:rPr>
          <w:rFonts w:hint="eastAsia" w:ascii="宋体" w:hAnsi="宋体" w:eastAsia="宋体" w:cs="宋体"/>
          <w:sz w:val="24"/>
          <w:highlight w:val="none"/>
          <w:lang w:eastAsia="zh-CN"/>
        </w:rPr>
        <w:t>.1产品包装须严格执行买方的企业标准或国家标准和行业有关标准及甲方的其它包装要求。</w:t>
      </w:r>
    </w:p>
    <w:p w14:paraId="357AA2DA">
      <w:pPr>
        <w:spacing w:line="360" w:lineRule="auto"/>
        <w:ind w:firstLine="480" w:firstLineChars="200"/>
        <w:rPr>
          <w:rFonts w:hint="eastAsia" w:ascii="宋体" w:hAnsi="宋体" w:eastAsia="宋体" w:cs="宋体"/>
          <w:sz w:val="24"/>
          <w:highlight w:val="none"/>
          <w:lang w:eastAsia="zh-CN"/>
        </w:rPr>
      </w:pPr>
      <w:r>
        <w:rPr>
          <w:rFonts w:hint="eastAsia" w:ascii="宋体" w:hAnsi="宋体" w:eastAsia="宋体" w:cs="宋体"/>
          <w:sz w:val="24"/>
          <w:highlight w:val="none"/>
          <w:lang w:val="en-US" w:eastAsia="zh-CN"/>
        </w:rPr>
        <w:t>5</w:t>
      </w:r>
      <w:r>
        <w:rPr>
          <w:rFonts w:hint="eastAsia" w:ascii="宋体" w:hAnsi="宋体" w:eastAsia="宋体" w:cs="宋体"/>
          <w:sz w:val="24"/>
          <w:highlight w:val="none"/>
          <w:lang w:eastAsia="zh-CN"/>
        </w:rPr>
        <w:t>.2产品包装必须保证产品质量在运输、储存过程中不降低。</w:t>
      </w:r>
    </w:p>
    <w:p w14:paraId="7773D3F0">
      <w:pPr>
        <w:spacing w:line="360" w:lineRule="auto"/>
        <w:ind w:firstLine="480" w:firstLineChars="200"/>
        <w:rPr>
          <w:rFonts w:hint="eastAsia" w:ascii="宋体" w:hAnsi="宋体" w:eastAsia="宋体" w:cs="宋体"/>
          <w:sz w:val="24"/>
          <w:highlight w:val="none"/>
          <w:lang w:eastAsia="zh-CN"/>
        </w:rPr>
      </w:pPr>
      <w:r>
        <w:rPr>
          <w:rFonts w:hint="eastAsia" w:ascii="宋体" w:hAnsi="宋体" w:eastAsia="宋体" w:cs="宋体"/>
          <w:sz w:val="24"/>
          <w:highlight w:val="none"/>
          <w:lang w:val="en-US" w:eastAsia="zh-CN"/>
        </w:rPr>
        <w:t>5</w:t>
      </w:r>
      <w:r>
        <w:rPr>
          <w:rFonts w:hint="eastAsia" w:ascii="宋体" w:hAnsi="宋体" w:eastAsia="宋体" w:cs="宋体"/>
          <w:sz w:val="24"/>
          <w:highlight w:val="none"/>
          <w:lang w:eastAsia="zh-CN"/>
        </w:rPr>
        <w:t>.3木质包装，包装及运输过程中要进行防潮、防锈、防磕碰处理。</w:t>
      </w:r>
    </w:p>
    <w:p w14:paraId="08D1FAB9">
      <w:pPr>
        <w:spacing w:line="360" w:lineRule="auto"/>
        <w:ind w:firstLine="480" w:firstLineChars="200"/>
        <w:rPr>
          <w:rFonts w:hint="eastAsia" w:ascii="宋体" w:hAnsi="宋体" w:eastAsia="宋体" w:cs="宋体"/>
          <w:sz w:val="24"/>
          <w:highlight w:val="none"/>
          <w:lang w:eastAsia="zh-CN"/>
        </w:rPr>
      </w:pPr>
      <w:r>
        <w:rPr>
          <w:rFonts w:hint="eastAsia" w:ascii="宋体" w:hAnsi="宋体" w:eastAsia="宋体" w:cs="宋体"/>
          <w:sz w:val="24"/>
          <w:highlight w:val="none"/>
          <w:lang w:val="en-US" w:eastAsia="zh-CN"/>
        </w:rPr>
        <w:t>5</w:t>
      </w:r>
      <w:r>
        <w:rPr>
          <w:rFonts w:hint="eastAsia" w:ascii="宋体" w:hAnsi="宋体" w:eastAsia="宋体" w:cs="宋体"/>
          <w:sz w:val="24"/>
          <w:highlight w:val="none"/>
          <w:lang w:eastAsia="zh-CN"/>
        </w:rPr>
        <w:t>.4产品标识要求</w:t>
      </w:r>
    </w:p>
    <w:p w14:paraId="37A636B5">
      <w:pPr>
        <w:spacing w:line="360" w:lineRule="auto"/>
        <w:ind w:firstLine="480" w:firstLineChars="200"/>
        <w:rPr>
          <w:rFonts w:hint="eastAsia" w:ascii="宋体" w:hAnsi="宋体" w:eastAsia="宋体" w:cs="宋体"/>
          <w:sz w:val="24"/>
          <w:highlight w:val="none"/>
          <w:lang w:eastAsia="zh-CN"/>
        </w:rPr>
      </w:pPr>
      <w:r>
        <w:rPr>
          <w:rFonts w:hint="eastAsia" w:ascii="宋体" w:hAnsi="宋体" w:eastAsia="宋体" w:cs="宋体"/>
          <w:sz w:val="24"/>
          <w:highlight w:val="none"/>
          <w:lang w:val="en-US" w:eastAsia="zh-CN"/>
        </w:rPr>
        <w:t>5</w:t>
      </w:r>
      <w:r>
        <w:rPr>
          <w:rFonts w:hint="eastAsia" w:ascii="宋体" w:hAnsi="宋体" w:eastAsia="宋体" w:cs="宋体"/>
          <w:sz w:val="24"/>
          <w:highlight w:val="none"/>
          <w:lang w:eastAsia="zh-CN"/>
        </w:rPr>
        <w:t>.4.1卖方对其供给买方的产品必须进行可追溯性标识，同时须满足买方的特定标识要求。</w:t>
      </w:r>
    </w:p>
    <w:p w14:paraId="053F8C90">
      <w:pPr>
        <w:spacing w:line="360" w:lineRule="auto"/>
        <w:ind w:firstLine="480" w:firstLineChars="200"/>
        <w:rPr>
          <w:rFonts w:hint="eastAsia" w:ascii="宋体" w:hAnsi="宋体" w:eastAsia="宋体" w:cs="宋体"/>
          <w:sz w:val="24"/>
          <w:highlight w:val="none"/>
          <w:lang w:eastAsia="zh-CN"/>
        </w:rPr>
      </w:pPr>
      <w:r>
        <w:rPr>
          <w:rFonts w:hint="eastAsia" w:ascii="宋体" w:hAnsi="宋体" w:eastAsia="宋体" w:cs="宋体"/>
          <w:sz w:val="24"/>
          <w:highlight w:val="none"/>
          <w:lang w:val="en-US" w:eastAsia="zh-CN"/>
        </w:rPr>
        <w:t>5</w:t>
      </w:r>
      <w:r>
        <w:rPr>
          <w:rFonts w:hint="eastAsia" w:ascii="宋体" w:hAnsi="宋体" w:eastAsia="宋体" w:cs="宋体"/>
          <w:sz w:val="24"/>
          <w:highlight w:val="none"/>
          <w:lang w:eastAsia="zh-CN"/>
        </w:rPr>
        <w:t>.4.2产品标识部位以不影响产品质量为原则，除买方明确要求的标识部位外，卖方可自行选择部位，并将标识部位传给买方备案。</w:t>
      </w:r>
    </w:p>
    <w:p w14:paraId="1C9DD1BE">
      <w:pPr>
        <w:spacing w:line="360" w:lineRule="auto"/>
        <w:ind w:firstLine="480" w:firstLineChars="200"/>
        <w:rPr>
          <w:rFonts w:hint="eastAsia" w:ascii="宋体" w:hAnsi="宋体" w:eastAsia="宋体" w:cs="宋体"/>
          <w:sz w:val="24"/>
          <w:highlight w:val="none"/>
          <w:lang w:eastAsia="zh-CN"/>
        </w:rPr>
      </w:pPr>
      <w:r>
        <w:rPr>
          <w:rFonts w:hint="eastAsia" w:ascii="宋体" w:hAnsi="宋体" w:eastAsia="宋体" w:cs="宋体"/>
          <w:sz w:val="24"/>
          <w:highlight w:val="none"/>
          <w:lang w:val="en-US" w:eastAsia="zh-CN"/>
        </w:rPr>
        <w:t>6.</w:t>
      </w:r>
      <w:r>
        <w:rPr>
          <w:rFonts w:hint="eastAsia" w:ascii="宋体" w:hAnsi="宋体" w:eastAsia="宋体" w:cs="宋体"/>
          <w:sz w:val="24"/>
          <w:highlight w:val="none"/>
          <w:lang w:eastAsia="zh-CN"/>
        </w:rPr>
        <w:t>预验收及交货</w:t>
      </w:r>
    </w:p>
    <w:p w14:paraId="775E0BBF">
      <w:pPr>
        <w:spacing w:line="360" w:lineRule="auto"/>
        <w:ind w:firstLine="480" w:firstLineChars="200"/>
        <w:rPr>
          <w:rFonts w:hint="eastAsia" w:ascii="宋体" w:hAnsi="宋体" w:eastAsia="宋体" w:cs="宋体"/>
          <w:sz w:val="24"/>
          <w:highlight w:val="none"/>
          <w:lang w:eastAsia="zh-CN"/>
        </w:rPr>
      </w:pPr>
      <w:r>
        <w:rPr>
          <w:rFonts w:hint="eastAsia" w:ascii="宋体" w:hAnsi="宋体" w:eastAsia="宋体" w:cs="宋体"/>
          <w:sz w:val="24"/>
          <w:highlight w:val="none"/>
          <w:lang w:val="en-US" w:eastAsia="zh-CN"/>
        </w:rPr>
        <w:t>6</w:t>
      </w:r>
      <w:r>
        <w:rPr>
          <w:rFonts w:hint="eastAsia" w:ascii="宋体" w:hAnsi="宋体" w:eastAsia="宋体" w:cs="宋体"/>
          <w:sz w:val="24"/>
          <w:highlight w:val="none"/>
          <w:lang w:eastAsia="zh-CN"/>
        </w:rPr>
        <w:t>.1预验收</w:t>
      </w:r>
    </w:p>
    <w:p w14:paraId="01E0E87C">
      <w:pPr>
        <w:spacing w:line="360" w:lineRule="auto"/>
        <w:ind w:firstLine="480" w:firstLineChars="200"/>
        <w:rPr>
          <w:rFonts w:hint="eastAsia" w:ascii="宋体" w:hAnsi="宋体" w:eastAsia="宋体" w:cs="宋体"/>
          <w:sz w:val="24"/>
          <w:highlight w:val="none"/>
          <w:lang w:eastAsia="zh-CN"/>
        </w:rPr>
      </w:pPr>
      <w:r>
        <w:rPr>
          <w:rFonts w:hint="eastAsia" w:ascii="宋体" w:hAnsi="宋体" w:eastAsia="宋体" w:cs="宋体"/>
          <w:sz w:val="24"/>
          <w:highlight w:val="none"/>
          <w:lang w:eastAsia="zh-CN"/>
        </w:rPr>
        <w:t>必要时买方派专业人员在发货前20天到乙方工厂进行预验收，检查确认工装数量及结构完整，并签署预验收备忘录。</w:t>
      </w:r>
    </w:p>
    <w:p w14:paraId="6D304607">
      <w:pPr>
        <w:spacing w:line="360" w:lineRule="auto"/>
        <w:ind w:firstLine="480" w:firstLineChars="200"/>
        <w:rPr>
          <w:rFonts w:hint="eastAsia" w:ascii="宋体" w:hAnsi="宋体" w:eastAsia="宋体" w:cs="宋体"/>
          <w:sz w:val="24"/>
          <w:highlight w:val="none"/>
          <w:lang w:eastAsia="zh-CN"/>
        </w:rPr>
      </w:pPr>
      <w:r>
        <w:rPr>
          <w:rFonts w:hint="eastAsia" w:ascii="宋体" w:hAnsi="宋体" w:eastAsia="宋体" w:cs="宋体"/>
          <w:sz w:val="24"/>
          <w:highlight w:val="none"/>
          <w:lang w:val="en-US" w:eastAsia="zh-CN"/>
        </w:rPr>
        <w:t>6</w:t>
      </w:r>
      <w:r>
        <w:rPr>
          <w:rFonts w:hint="eastAsia" w:ascii="宋体" w:hAnsi="宋体" w:eastAsia="宋体" w:cs="宋体"/>
          <w:sz w:val="24"/>
          <w:highlight w:val="none"/>
          <w:lang w:eastAsia="zh-CN"/>
        </w:rPr>
        <w:t>.2工装交货期：</w:t>
      </w:r>
    </w:p>
    <w:p w14:paraId="32B07C2B">
      <w:pPr>
        <w:spacing w:line="360" w:lineRule="auto"/>
        <w:ind w:firstLine="480" w:firstLineChars="200"/>
        <w:rPr>
          <w:rFonts w:hint="eastAsia" w:ascii="宋体" w:hAnsi="宋体" w:eastAsia="宋体" w:cs="宋体"/>
          <w:sz w:val="24"/>
          <w:highlight w:val="none"/>
          <w:lang w:eastAsia="zh-CN"/>
        </w:rPr>
      </w:pPr>
      <w:r>
        <w:rPr>
          <w:rFonts w:hint="eastAsia" w:ascii="宋体" w:hAnsi="宋体" w:eastAsia="宋体" w:cs="宋体"/>
          <w:sz w:val="24"/>
          <w:highlight w:val="none"/>
          <w:lang w:val="en-US" w:eastAsia="zh-CN"/>
        </w:rPr>
        <w:t>6</w:t>
      </w:r>
      <w:r>
        <w:rPr>
          <w:rFonts w:hint="eastAsia" w:ascii="宋体" w:hAnsi="宋体" w:eastAsia="宋体" w:cs="宋体"/>
          <w:sz w:val="24"/>
          <w:highlight w:val="none"/>
          <w:lang w:eastAsia="zh-CN"/>
        </w:rPr>
        <w:t>.3交货地点：济南成型厂。</w:t>
      </w:r>
    </w:p>
    <w:p w14:paraId="21103D2E">
      <w:pPr>
        <w:spacing w:line="360" w:lineRule="auto"/>
        <w:ind w:firstLine="480" w:firstLineChars="200"/>
        <w:rPr>
          <w:rFonts w:hint="eastAsia" w:ascii="宋体" w:hAnsi="宋体" w:eastAsia="宋体" w:cs="宋体"/>
          <w:sz w:val="24"/>
          <w:highlight w:val="none"/>
          <w:lang w:eastAsia="zh-CN"/>
        </w:rPr>
      </w:pPr>
      <w:r>
        <w:rPr>
          <w:rFonts w:hint="eastAsia" w:ascii="宋体" w:hAnsi="宋体" w:eastAsia="宋体" w:cs="宋体"/>
          <w:sz w:val="24"/>
          <w:highlight w:val="none"/>
          <w:lang w:val="en-US" w:eastAsia="zh-CN"/>
        </w:rPr>
        <w:t>6</w:t>
      </w:r>
      <w:r>
        <w:rPr>
          <w:rFonts w:hint="eastAsia" w:ascii="宋体" w:hAnsi="宋体" w:eastAsia="宋体" w:cs="宋体"/>
          <w:sz w:val="24"/>
          <w:highlight w:val="none"/>
          <w:lang w:eastAsia="zh-CN"/>
        </w:rPr>
        <w:t>.4进厂检验：修改或修复工装到厂后，质量部对修改或修复后工装进行尺寸检验，以人工划线，三坐标、3D扫描等方式检验，工装尺寸与设计尺寸一致，偏差符合设计精度，一般不超过0.1mm。</w:t>
      </w:r>
    </w:p>
    <w:p w14:paraId="3F794A93">
      <w:pPr>
        <w:spacing w:line="360" w:lineRule="auto"/>
        <w:ind w:firstLine="480" w:firstLineChars="200"/>
        <w:rPr>
          <w:rFonts w:hint="eastAsia" w:ascii="宋体" w:hAnsi="宋体" w:eastAsia="宋体" w:cs="宋体"/>
          <w:sz w:val="24"/>
          <w:highlight w:val="none"/>
          <w:lang w:eastAsia="zh-CN"/>
        </w:rPr>
      </w:pPr>
      <w:r>
        <w:rPr>
          <w:rFonts w:hint="eastAsia" w:ascii="宋体" w:hAnsi="宋体" w:eastAsia="宋体" w:cs="宋体"/>
          <w:sz w:val="24"/>
          <w:highlight w:val="none"/>
          <w:lang w:val="en-US" w:eastAsia="zh-CN"/>
        </w:rPr>
        <w:t>7.</w:t>
      </w:r>
      <w:r>
        <w:rPr>
          <w:rFonts w:hint="eastAsia" w:ascii="宋体" w:hAnsi="宋体" w:eastAsia="宋体" w:cs="宋体"/>
          <w:sz w:val="24"/>
          <w:highlight w:val="none"/>
          <w:lang w:eastAsia="zh-CN"/>
        </w:rPr>
        <w:t>调试、验证</w:t>
      </w:r>
    </w:p>
    <w:p w14:paraId="115F9FA9">
      <w:pPr>
        <w:spacing w:line="360" w:lineRule="auto"/>
        <w:ind w:firstLine="480" w:firstLineChars="200"/>
        <w:rPr>
          <w:rFonts w:hint="eastAsia" w:ascii="宋体" w:hAnsi="宋体" w:eastAsia="宋体" w:cs="宋体"/>
          <w:sz w:val="24"/>
          <w:highlight w:val="none"/>
          <w:lang w:eastAsia="zh-CN"/>
        </w:rPr>
      </w:pPr>
      <w:r>
        <w:rPr>
          <w:rFonts w:hint="eastAsia" w:ascii="宋体" w:hAnsi="宋体" w:eastAsia="宋体" w:cs="宋体"/>
          <w:sz w:val="24"/>
          <w:highlight w:val="none"/>
          <w:lang w:val="en-US" w:eastAsia="zh-CN"/>
        </w:rPr>
        <w:t>7</w:t>
      </w:r>
      <w:r>
        <w:rPr>
          <w:rFonts w:hint="eastAsia" w:ascii="宋体" w:hAnsi="宋体" w:eastAsia="宋体" w:cs="宋体"/>
          <w:sz w:val="24"/>
          <w:highlight w:val="none"/>
          <w:lang w:eastAsia="zh-CN"/>
        </w:rPr>
        <w:t>.1模具安装后进行空载运行，模具活动部分动作正常、可靠。</w:t>
      </w:r>
    </w:p>
    <w:p w14:paraId="11B2AA32">
      <w:pPr>
        <w:spacing w:line="360" w:lineRule="auto"/>
        <w:ind w:firstLine="480" w:firstLineChars="200"/>
        <w:rPr>
          <w:rFonts w:hint="eastAsia" w:ascii="宋体" w:hAnsi="宋体" w:eastAsia="宋体" w:cs="宋体"/>
          <w:sz w:val="24"/>
          <w:highlight w:val="none"/>
          <w:lang w:eastAsia="zh-CN"/>
        </w:rPr>
      </w:pPr>
      <w:r>
        <w:rPr>
          <w:rFonts w:hint="eastAsia" w:ascii="宋体" w:hAnsi="宋体" w:eastAsia="宋体" w:cs="宋体"/>
          <w:sz w:val="24"/>
          <w:highlight w:val="none"/>
          <w:lang w:val="en-US" w:eastAsia="zh-CN"/>
        </w:rPr>
        <w:t>7</w:t>
      </w:r>
      <w:r>
        <w:rPr>
          <w:rFonts w:hint="eastAsia" w:ascii="宋体" w:hAnsi="宋体" w:eastAsia="宋体" w:cs="宋体"/>
          <w:sz w:val="24"/>
          <w:highlight w:val="none"/>
          <w:lang w:eastAsia="zh-CN"/>
        </w:rPr>
        <w:t>.2修改或修复工装需连续生产一个班的合格砂芯或者铸型，且铸件划线检验合格后认为工装合格。</w:t>
      </w:r>
    </w:p>
    <w:p w14:paraId="02542729">
      <w:pPr>
        <w:spacing w:line="360" w:lineRule="auto"/>
        <w:ind w:firstLine="480" w:firstLineChars="200"/>
        <w:rPr>
          <w:rFonts w:hint="eastAsia" w:ascii="宋体" w:hAnsi="宋体" w:eastAsia="宋体" w:cs="宋体"/>
          <w:sz w:val="24"/>
          <w:highlight w:val="none"/>
          <w:lang w:eastAsia="zh-CN"/>
        </w:rPr>
      </w:pPr>
      <w:r>
        <w:rPr>
          <w:rFonts w:hint="eastAsia" w:ascii="宋体" w:hAnsi="宋体" w:eastAsia="宋体" w:cs="宋体"/>
          <w:sz w:val="24"/>
          <w:highlight w:val="none"/>
          <w:lang w:val="en-US" w:eastAsia="zh-CN"/>
        </w:rPr>
        <w:t>8.</w:t>
      </w:r>
      <w:r>
        <w:rPr>
          <w:rFonts w:hint="eastAsia" w:ascii="宋体" w:hAnsi="宋体" w:eastAsia="宋体" w:cs="宋体"/>
          <w:sz w:val="24"/>
          <w:highlight w:val="none"/>
          <w:lang w:eastAsia="zh-CN"/>
        </w:rPr>
        <w:t>质量保证</w:t>
      </w:r>
    </w:p>
    <w:p w14:paraId="18082BBC">
      <w:pPr>
        <w:spacing w:line="360" w:lineRule="auto"/>
        <w:ind w:firstLine="480" w:firstLineChars="200"/>
        <w:rPr>
          <w:rFonts w:hint="eastAsia" w:ascii="宋体" w:hAnsi="宋体" w:eastAsia="宋体" w:cs="宋体"/>
          <w:sz w:val="24"/>
          <w:highlight w:val="none"/>
          <w:lang w:val="en-US" w:eastAsia="zh-CN"/>
        </w:rPr>
      </w:pPr>
      <w:r>
        <w:rPr>
          <w:rFonts w:hint="eastAsia" w:ascii="宋体" w:hAnsi="宋体" w:eastAsia="宋体" w:cs="宋体"/>
          <w:sz w:val="24"/>
          <w:highlight w:val="none"/>
          <w:lang w:eastAsia="zh-CN"/>
        </w:rPr>
        <w:t>从验证合格签字之日开始计算质保期，质量保证期：壹年。</w:t>
      </w:r>
    </w:p>
    <w:p w14:paraId="6764F337">
      <w:pPr>
        <w:spacing w:line="360" w:lineRule="auto"/>
        <w:ind w:firstLine="482" w:firstLineChars="200"/>
        <w:rPr>
          <w:rFonts w:hint="eastAsia" w:ascii="宋体" w:hAnsi="宋体"/>
          <w:b/>
          <w:bCs/>
          <w:sz w:val="24"/>
        </w:rPr>
      </w:pPr>
      <w:r>
        <w:rPr>
          <w:rFonts w:hint="default" w:ascii="Calibri" w:hAnsi="Calibri" w:cs="Calibri"/>
          <w:b/>
          <w:bCs/>
          <w:sz w:val="24"/>
          <w:lang w:val="en-US" w:eastAsia="zh-CN"/>
        </w:rPr>
        <w:t>②</w:t>
      </w:r>
      <w:r>
        <w:rPr>
          <w:rFonts w:hint="eastAsia" w:ascii="宋体" w:hAnsi="宋体"/>
          <w:b/>
          <w:bCs/>
          <w:sz w:val="24"/>
          <w:lang w:eastAsia="zh-CN"/>
        </w:rPr>
        <w:t>、</w:t>
      </w:r>
      <w:r>
        <w:rPr>
          <w:rFonts w:hint="eastAsia" w:ascii="宋体" w:hAnsi="宋体"/>
          <w:b/>
          <w:bCs/>
          <w:sz w:val="24"/>
        </w:rPr>
        <w:t>技</w:t>
      </w:r>
      <w:r>
        <w:rPr>
          <w:rFonts w:hint="eastAsia" w:ascii="宋体" w:hAnsi="宋体"/>
          <w:b/>
          <w:bCs/>
          <w:sz w:val="24"/>
          <w:szCs w:val="24"/>
        </w:rPr>
        <w:t>术标</w:t>
      </w:r>
      <w:r>
        <w:rPr>
          <w:rFonts w:hint="eastAsia"/>
          <w:b/>
          <w:bCs/>
          <w:sz w:val="24"/>
          <w:szCs w:val="24"/>
        </w:rPr>
        <w:t>文件的组成</w:t>
      </w:r>
      <w:r>
        <w:rPr>
          <w:rFonts w:hint="eastAsia" w:ascii="宋体" w:hAnsi="宋体"/>
          <w:b/>
          <w:bCs/>
          <w:sz w:val="24"/>
          <w:szCs w:val="24"/>
        </w:rPr>
        <w:t>：</w:t>
      </w:r>
    </w:p>
    <w:p w14:paraId="3B10FC23">
      <w:pPr>
        <w:pStyle w:val="111"/>
        <w:spacing w:line="360" w:lineRule="auto"/>
        <w:ind w:firstLine="480" w:firstLineChars="200"/>
        <w:jc w:val="left"/>
        <w:rPr>
          <w:rFonts w:hint="eastAsia"/>
        </w:rPr>
      </w:pPr>
      <w:r>
        <w:rPr>
          <w:rFonts w:hint="eastAsia"/>
        </w:rPr>
        <w:t>(</w:t>
      </w:r>
      <w:r>
        <w:t>1</w:t>
      </w:r>
      <w:r>
        <w:rPr>
          <w:rFonts w:hint="eastAsia"/>
        </w:rPr>
        <w:t>)工装制作</w:t>
      </w:r>
      <w:r>
        <w:rPr>
          <w:rFonts w:hint="eastAsia"/>
          <w:highlight w:val="none"/>
          <w:lang w:eastAsia="zh-CN"/>
        </w:rPr>
        <w:t>（</w:t>
      </w:r>
      <w:r>
        <w:rPr>
          <w:rFonts w:hint="eastAsia"/>
          <w:highlight w:val="none"/>
          <w:lang w:val="en-US" w:eastAsia="zh-CN"/>
        </w:rPr>
        <w:t>修改</w:t>
      </w:r>
      <w:r>
        <w:rPr>
          <w:rFonts w:hint="eastAsia"/>
          <w:highlight w:val="none"/>
          <w:lang w:eastAsia="zh-CN"/>
        </w:rPr>
        <w:t>）</w:t>
      </w:r>
      <w:r>
        <w:rPr>
          <w:rFonts w:hint="eastAsia"/>
        </w:rPr>
        <w:t>方案总体描述</w:t>
      </w:r>
    </w:p>
    <w:p w14:paraId="4A0A6678">
      <w:pPr>
        <w:pStyle w:val="111"/>
        <w:spacing w:line="360" w:lineRule="auto"/>
        <w:ind w:left="-100" w:firstLine="480" w:firstLineChars="200"/>
        <w:jc w:val="left"/>
        <w:rPr>
          <w:rFonts w:hint="eastAsia"/>
        </w:rPr>
      </w:pPr>
      <w:r>
        <w:rPr>
          <w:rFonts w:hint="eastAsia"/>
        </w:rPr>
        <w:t>(2)关键加工设备（提供设备品牌型号、技术参数等信息）</w:t>
      </w:r>
    </w:p>
    <w:p w14:paraId="4F35A56E">
      <w:pPr>
        <w:pStyle w:val="111"/>
        <w:spacing w:line="360" w:lineRule="auto"/>
        <w:ind w:left="-100" w:firstLine="480" w:firstLineChars="200"/>
        <w:jc w:val="left"/>
        <w:rPr>
          <w:rFonts w:hint="eastAsia"/>
        </w:rPr>
      </w:pPr>
      <w:r>
        <w:rPr>
          <w:rFonts w:hint="eastAsia"/>
        </w:rPr>
        <w:t>(3)检测设备（提供设备品牌型号、技术参数等信息）</w:t>
      </w:r>
    </w:p>
    <w:p w14:paraId="7A7221C4">
      <w:pPr>
        <w:pStyle w:val="111"/>
        <w:spacing w:line="360" w:lineRule="auto"/>
        <w:ind w:left="-100" w:firstLine="480" w:firstLineChars="200"/>
        <w:jc w:val="left"/>
        <w:rPr>
          <w:rFonts w:hint="eastAsia"/>
        </w:rPr>
      </w:pPr>
      <w:r>
        <w:rPr>
          <w:rFonts w:hint="eastAsia"/>
        </w:rPr>
        <w:t>(4)工装模具设计能力</w:t>
      </w:r>
      <w:r>
        <w:t>及制作工艺水平（</w:t>
      </w:r>
      <w:r>
        <w:rPr>
          <w:rFonts w:hint="eastAsia"/>
        </w:rPr>
        <w:t>提供中高级职称人员证书复印件及社保参保证明；</w:t>
      </w:r>
      <w:r>
        <w:t>制作工艺描述等）</w:t>
      </w:r>
    </w:p>
    <w:p w14:paraId="4A58128A">
      <w:pPr>
        <w:pStyle w:val="111"/>
        <w:spacing w:line="360" w:lineRule="auto"/>
        <w:ind w:left="-100" w:firstLine="480" w:firstLineChars="200"/>
        <w:jc w:val="left"/>
        <w:rPr>
          <w:rFonts w:hint="eastAsia"/>
        </w:rPr>
      </w:pPr>
      <w:r>
        <w:rPr>
          <w:rFonts w:hint="eastAsia"/>
        </w:rPr>
        <w:t>(5)计算机模拟能力</w:t>
      </w:r>
      <w:r>
        <w:t>（</w:t>
      </w:r>
      <w:r>
        <w:rPr>
          <w:rFonts w:hint="eastAsia"/>
        </w:rPr>
        <w:t>提供三维设计</w:t>
      </w:r>
      <w:r>
        <w:rPr>
          <w:rFonts w:hint="eastAsia"/>
          <w:lang w:eastAsia="zh-CN"/>
        </w:rPr>
        <w:t>、</w:t>
      </w:r>
      <w:r>
        <w:rPr>
          <w:rFonts w:hint="eastAsia"/>
          <w:lang w:val="en-US" w:eastAsia="zh-CN"/>
        </w:rPr>
        <w:t>模拟</w:t>
      </w:r>
      <w:r>
        <w:rPr>
          <w:rFonts w:hint="eastAsia"/>
        </w:rPr>
        <w:t>软件等资料信息）</w:t>
      </w:r>
    </w:p>
    <w:p w14:paraId="1511CBEB">
      <w:pPr>
        <w:pStyle w:val="111"/>
        <w:spacing w:line="360" w:lineRule="auto"/>
        <w:ind w:left="-100" w:firstLine="480" w:firstLineChars="200"/>
        <w:jc w:val="left"/>
        <w:rPr>
          <w:rFonts w:hint="eastAsia"/>
        </w:rPr>
      </w:pPr>
      <w:r>
        <w:rPr>
          <w:rFonts w:hint="eastAsia"/>
        </w:rPr>
        <w:t>(6)质保期及售后服务能力</w:t>
      </w:r>
    </w:p>
    <w:p w14:paraId="0B91EE88">
      <w:pPr>
        <w:pStyle w:val="111"/>
        <w:spacing w:line="360" w:lineRule="auto"/>
        <w:ind w:left="-100" w:firstLine="480" w:firstLineChars="200"/>
        <w:jc w:val="left"/>
      </w:pPr>
      <w:r>
        <w:rPr>
          <w:rFonts w:hint="eastAsia"/>
        </w:rPr>
        <w:t>(7)产品供货计划或生产加工计划</w:t>
      </w:r>
    </w:p>
    <w:p w14:paraId="7E0B64B2">
      <w:pPr>
        <w:pStyle w:val="111"/>
        <w:spacing w:line="360" w:lineRule="auto"/>
        <w:ind w:left="0" w:leftChars="0" w:firstLine="240" w:firstLineChars="100"/>
        <w:jc w:val="left"/>
        <w:rPr>
          <w:rFonts w:hint="eastAsia"/>
        </w:rPr>
      </w:pPr>
      <w:r>
        <w:rPr>
          <w:rFonts w:hint="eastAsia"/>
        </w:rPr>
        <w:t>（8）类似业绩并提供合同复印件（</w:t>
      </w:r>
      <w:r>
        <w:rPr>
          <w:rFonts w:hint="eastAsia"/>
          <w:lang w:val="en-US" w:eastAsia="zh-CN"/>
        </w:rPr>
        <w:t>详见附件</w:t>
      </w:r>
      <w:r>
        <w:rPr>
          <w:rFonts w:hint="eastAsia"/>
        </w:rPr>
        <w:t>格式</w:t>
      </w:r>
      <w:r>
        <w:rPr>
          <w:rFonts w:hint="eastAsia"/>
          <w:lang w:val="en-US" w:eastAsia="zh-CN"/>
        </w:rPr>
        <w:t>1</w:t>
      </w:r>
      <w:r>
        <w:rPr>
          <w:rFonts w:hint="eastAsia"/>
        </w:rPr>
        <w:t>）</w:t>
      </w:r>
    </w:p>
    <w:p w14:paraId="2560287E">
      <w:pPr>
        <w:pStyle w:val="111"/>
        <w:spacing w:line="360" w:lineRule="auto"/>
        <w:ind w:left="-100" w:firstLine="480" w:firstLineChars="200"/>
        <w:jc w:val="left"/>
        <w:rPr>
          <w:rFonts w:hint="eastAsia"/>
        </w:rPr>
      </w:pPr>
      <w:r>
        <w:rPr>
          <w:rFonts w:hint="eastAsia"/>
        </w:rPr>
        <w:t>(</w:t>
      </w:r>
      <w:r>
        <w:t>9</w:t>
      </w:r>
      <w:r>
        <w:rPr>
          <w:rFonts w:hint="eastAsia"/>
        </w:rPr>
        <w:t>)</w:t>
      </w:r>
      <w:r>
        <w:t xml:space="preserve"> </w:t>
      </w:r>
      <w:r>
        <w:rPr>
          <w:rFonts w:hint="eastAsia"/>
        </w:rPr>
        <w:t>技术规格偏离表（</w:t>
      </w:r>
      <w:r>
        <w:rPr>
          <w:rFonts w:hint="eastAsia"/>
          <w:lang w:val="en-US" w:eastAsia="zh-CN"/>
        </w:rPr>
        <w:t>详见附件</w:t>
      </w:r>
      <w:r>
        <w:rPr>
          <w:rFonts w:hint="eastAsia"/>
        </w:rPr>
        <w:t>格式</w:t>
      </w:r>
      <w:r>
        <w:rPr>
          <w:rFonts w:hint="eastAsia"/>
          <w:lang w:val="en-US" w:eastAsia="zh-CN"/>
        </w:rPr>
        <w:t>2</w:t>
      </w:r>
      <w:r>
        <w:rPr>
          <w:rFonts w:hint="eastAsia"/>
        </w:rPr>
        <w:t>）</w:t>
      </w:r>
    </w:p>
    <w:p w14:paraId="40CB17B7">
      <w:pPr>
        <w:pStyle w:val="111"/>
        <w:spacing w:line="360" w:lineRule="auto"/>
        <w:ind w:firstLine="482" w:firstLineChars="200"/>
        <w:rPr>
          <w:rFonts w:hint="default" w:eastAsia="宋体"/>
          <w:b/>
          <w:bCs/>
          <w:lang w:val="en-US" w:eastAsia="zh-CN"/>
        </w:rPr>
      </w:pPr>
      <w:r>
        <w:rPr>
          <w:rFonts w:hint="default" w:ascii="Calibri" w:hAnsi="Calibri" w:cs="Calibri"/>
          <w:b/>
          <w:bCs/>
        </w:rPr>
        <w:t>③</w:t>
      </w:r>
      <w:r>
        <w:rPr>
          <w:rFonts w:hint="eastAsia"/>
          <w:b/>
          <w:bCs/>
        </w:rPr>
        <w:t>、询标</w:t>
      </w:r>
      <w:r>
        <w:rPr>
          <w:rFonts w:hint="eastAsia"/>
          <w:b/>
          <w:bCs/>
          <w:lang w:val="en-US" w:eastAsia="zh-CN"/>
        </w:rPr>
        <w:t>及技术答疑</w:t>
      </w:r>
    </w:p>
    <w:p w14:paraId="7EDC3C7F">
      <w:pPr>
        <w:pStyle w:val="111"/>
        <w:keepNext w:val="0"/>
        <w:keepLines w:val="0"/>
        <w:pageBreakBefore w:val="0"/>
        <w:widowControl w:val="0"/>
        <w:kinsoku/>
        <w:wordWrap/>
        <w:overflowPunct/>
        <w:topLinePunct w:val="0"/>
        <w:autoSpaceDE/>
        <w:autoSpaceDN/>
        <w:bidi w:val="0"/>
        <w:adjustRightInd/>
        <w:snapToGrid/>
        <w:spacing w:line="420" w:lineRule="exact"/>
        <w:ind w:firstLine="480" w:firstLineChars="200"/>
        <w:textAlignment w:val="auto"/>
        <w:rPr>
          <w:rFonts w:hint="eastAsia"/>
        </w:rPr>
      </w:pPr>
      <w:r>
        <w:rPr>
          <w:rFonts w:hint="eastAsia"/>
        </w:rPr>
        <w:t>凡对本次招标提出的询问，技术方面可咨询济南成型厂</w:t>
      </w:r>
      <w:r>
        <w:rPr>
          <w:rFonts w:hint="eastAsia"/>
          <w:lang w:val="en-US" w:eastAsia="zh-CN"/>
        </w:rPr>
        <w:t>工艺工程</w:t>
      </w:r>
      <w:r>
        <w:rPr>
          <w:rFonts w:hint="eastAsia"/>
        </w:rPr>
        <w:t>部，均以招标方的传真、邮件、书面答复为准。</w:t>
      </w:r>
    </w:p>
    <w:p w14:paraId="59E17F68">
      <w:pPr>
        <w:pStyle w:val="111"/>
        <w:keepNext w:val="0"/>
        <w:keepLines w:val="0"/>
        <w:pageBreakBefore w:val="0"/>
        <w:widowControl w:val="0"/>
        <w:kinsoku/>
        <w:wordWrap/>
        <w:overflowPunct/>
        <w:topLinePunct w:val="0"/>
        <w:autoSpaceDE/>
        <w:autoSpaceDN/>
        <w:bidi w:val="0"/>
        <w:adjustRightInd/>
        <w:snapToGrid/>
        <w:spacing w:line="420" w:lineRule="exact"/>
        <w:ind w:firstLine="480" w:firstLineChars="200"/>
        <w:textAlignment w:val="auto"/>
        <w:rPr>
          <w:rFonts w:hint="eastAsia" w:ascii="宋体" w:hAnsi="宋体" w:eastAsia="宋体" w:cs="宋体"/>
        </w:rPr>
      </w:pPr>
      <w:r>
        <w:rPr>
          <w:rFonts w:hint="eastAsia" w:ascii="宋体" w:hAnsi="宋体" w:eastAsia="宋体" w:cs="宋体"/>
        </w:rPr>
        <w:t>答疑方式：书面、传真、邮件</w:t>
      </w:r>
    </w:p>
    <w:p w14:paraId="65A29D3D">
      <w:pPr>
        <w:pStyle w:val="111"/>
        <w:keepNext w:val="0"/>
        <w:keepLines w:val="0"/>
        <w:pageBreakBefore w:val="0"/>
        <w:widowControl w:val="0"/>
        <w:kinsoku/>
        <w:wordWrap/>
        <w:overflowPunct/>
        <w:topLinePunct w:val="0"/>
        <w:autoSpaceDE/>
        <w:autoSpaceDN/>
        <w:bidi w:val="0"/>
        <w:adjustRightInd/>
        <w:snapToGrid/>
        <w:spacing w:line="420" w:lineRule="exact"/>
        <w:ind w:firstLine="480" w:firstLineChars="200"/>
        <w:textAlignment w:val="auto"/>
        <w:rPr>
          <w:rFonts w:hint="eastAsia" w:ascii="宋体" w:hAnsi="宋体" w:eastAsia="宋体" w:cs="宋体"/>
        </w:rPr>
      </w:pPr>
      <w:r>
        <w:rPr>
          <w:rFonts w:hint="eastAsia" w:ascii="宋体" w:hAnsi="宋体" w:eastAsia="宋体" w:cs="宋体"/>
        </w:rPr>
        <w:t>联 系 人： 宋波</w:t>
      </w:r>
    </w:p>
    <w:p w14:paraId="6F72C5DC">
      <w:pPr>
        <w:pStyle w:val="111"/>
        <w:keepNext w:val="0"/>
        <w:keepLines w:val="0"/>
        <w:pageBreakBefore w:val="0"/>
        <w:widowControl w:val="0"/>
        <w:kinsoku/>
        <w:wordWrap/>
        <w:overflowPunct/>
        <w:topLinePunct w:val="0"/>
        <w:autoSpaceDE/>
        <w:autoSpaceDN/>
        <w:bidi w:val="0"/>
        <w:adjustRightInd/>
        <w:snapToGrid/>
        <w:spacing w:line="420" w:lineRule="exact"/>
        <w:ind w:firstLine="480" w:firstLineChars="200"/>
        <w:textAlignment w:val="auto"/>
        <w:rPr>
          <w:rFonts w:hint="eastAsia" w:ascii="Times New Roman" w:hAnsi="Times New Roman"/>
          <w:color w:val="000000"/>
          <w:sz w:val="24"/>
          <w:szCs w:val="24"/>
        </w:rPr>
      </w:pPr>
      <w:r>
        <w:rPr>
          <w:rFonts w:hint="eastAsia" w:ascii="宋体" w:hAnsi="宋体" w:eastAsia="宋体" w:cs="宋体"/>
        </w:rPr>
        <w:t>电    话： 0531-58061364  15098736562</w:t>
      </w:r>
    </w:p>
    <w:p w14:paraId="51CCD37E">
      <w:pPr>
        <w:pStyle w:val="15"/>
        <w:spacing w:line="440" w:lineRule="exact"/>
        <w:ind w:firstLine="482" w:firstLineChars="200"/>
        <w:rPr>
          <w:b/>
          <w:bCs/>
          <w:color w:val="000000"/>
          <w:sz w:val="28"/>
          <w:szCs w:val="28"/>
        </w:rPr>
      </w:pPr>
      <w:r>
        <w:rPr>
          <w:rFonts w:hint="eastAsia"/>
          <w:b/>
          <w:bCs/>
          <w:color w:val="000000"/>
          <w:sz w:val="24"/>
          <w:szCs w:val="24"/>
          <w:lang w:val="en-US" w:eastAsia="zh-CN"/>
        </w:rPr>
        <w:t>五、</w:t>
      </w:r>
      <w:r>
        <w:rPr>
          <w:rFonts w:hint="eastAsia"/>
          <w:b/>
          <w:bCs/>
          <w:color w:val="000000"/>
          <w:sz w:val="24"/>
          <w:szCs w:val="24"/>
        </w:rPr>
        <w:t>评标</w:t>
      </w:r>
    </w:p>
    <w:p w14:paraId="5DD93C2A">
      <w:pPr>
        <w:keepNext w:val="0"/>
        <w:keepLines w:val="0"/>
        <w:pageBreakBefore w:val="0"/>
        <w:widowControl/>
        <w:suppressLineNumbers w:val="0"/>
        <w:kinsoku/>
        <w:wordWrap/>
        <w:overflowPunct/>
        <w:topLinePunct w:val="0"/>
        <w:autoSpaceDE/>
        <w:autoSpaceDN/>
        <w:bidi w:val="0"/>
        <w:adjustRightInd/>
        <w:snapToGrid/>
        <w:spacing w:line="400" w:lineRule="exact"/>
        <w:ind w:firstLine="480" w:firstLineChars="200"/>
        <w:jc w:val="left"/>
        <w:textAlignment w:val="auto"/>
        <w:rPr>
          <w:rFonts w:hint="eastAsia"/>
          <w:color w:val="000000"/>
          <w:sz w:val="28"/>
          <w:szCs w:val="28"/>
        </w:rPr>
      </w:pPr>
      <w:r>
        <w:rPr>
          <w:rFonts w:hint="eastAsia"/>
          <w:color w:val="000000"/>
          <w:sz w:val="24"/>
          <w:szCs w:val="24"/>
          <w:lang w:val="en-US" w:eastAsia="zh-CN"/>
        </w:rPr>
        <w:t>1、本项目采用</w:t>
      </w:r>
      <w:r>
        <w:rPr>
          <w:rFonts w:ascii="仿宋_GB2312" w:hAnsi="宋体" w:eastAsia="仿宋_GB2312" w:cs="仿宋_GB2312"/>
          <w:color w:val="FF0000"/>
          <w:kern w:val="0"/>
          <w:sz w:val="28"/>
          <w:szCs w:val="28"/>
          <w:lang w:val="en-US" w:eastAsia="zh-CN" w:bidi="ar"/>
        </w:rPr>
        <w:t>技术入围</w:t>
      </w:r>
      <w:r>
        <w:rPr>
          <w:rFonts w:hint="eastAsia" w:ascii="仿宋_GB2312" w:hAnsi="宋体" w:eastAsia="仿宋_GB2312" w:cs="仿宋_GB2312"/>
          <w:color w:val="FF0000"/>
          <w:kern w:val="0"/>
          <w:sz w:val="28"/>
          <w:szCs w:val="28"/>
          <w:lang w:val="en-US" w:eastAsia="zh-CN" w:bidi="ar"/>
        </w:rPr>
        <w:t>合理最低价中标方式。</w:t>
      </w:r>
    </w:p>
    <w:p w14:paraId="2840B40E">
      <w:pPr>
        <w:pStyle w:val="15"/>
        <w:keepNext w:val="0"/>
        <w:keepLines w:val="0"/>
        <w:pageBreakBefore w:val="0"/>
        <w:kinsoku/>
        <w:wordWrap/>
        <w:overflowPunct/>
        <w:topLinePunct w:val="0"/>
        <w:autoSpaceDE/>
        <w:autoSpaceDN/>
        <w:bidi w:val="0"/>
        <w:adjustRightInd/>
        <w:snapToGrid/>
        <w:spacing w:line="420" w:lineRule="exact"/>
        <w:ind w:firstLine="480" w:firstLineChars="200"/>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lang w:val="en-US" w:eastAsia="zh-CN"/>
        </w:rPr>
        <w:t>1.1</w:t>
      </w:r>
      <w:r>
        <w:rPr>
          <w:rFonts w:hint="eastAsia" w:ascii="宋体" w:hAnsi="宋体" w:eastAsia="宋体" w:cs="宋体"/>
          <w:color w:val="auto"/>
          <w:sz w:val="24"/>
          <w:szCs w:val="24"/>
          <w:highlight w:val="none"/>
        </w:rPr>
        <w:t>通过资质审验的投标方进入</w:t>
      </w:r>
      <w:r>
        <w:rPr>
          <w:rFonts w:hint="eastAsia" w:ascii="宋体" w:hAnsi="宋体" w:eastAsia="宋体" w:cs="宋体"/>
          <w:color w:val="auto"/>
          <w:sz w:val="24"/>
          <w:szCs w:val="24"/>
          <w:highlight w:val="none"/>
          <w:lang w:val="en-US" w:eastAsia="zh-CN"/>
        </w:rPr>
        <w:t>技术标</w:t>
      </w:r>
      <w:r>
        <w:rPr>
          <w:rFonts w:hint="eastAsia" w:ascii="宋体" w:hAnsi="宋体" w:eastAsia="宋体" w:cs="宋体"/>
          <w:color w:val="auto"/>
          <w:sz w:val="24"/>
          <w:szCs w:val="24"/>
          <w:highlight w:val="none"/>
        </w:rPr>
        <w:t>环节。</w:t>
      </w:r>
    </w:p>
    <w:p w14:paraId="4EBF795B">
      <w:pPr>
        <w:keepNext w:val="0"/>
        <w:keepLines w:val="0"/>
        <w:pageBreakBefore w:val="0"/>
        <w:widowControl/>
        <w:suppressLineNumbers w:val="0"/>
        <w:kinsoku/>
        <w:wordWrap/>
        <w:overflowPunct/>
        <w:topLinePunct w:val="0"/>
        <w:autoSpaceDE/>
        <w:autoSpaceDN/>
        <w:bidi w:val="0"/>
        <w:adjustRightInd/>
        <w:snapToGrid/>
        <w:spacing w:line="420" w:lineRule="exact"/>
        <w:ind w:firstLine="480" w:firstLineChars="200"/>
        <w:jc w:val="left"/>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lang w:val="en-US" w:eastAsia="zh-CN"/>
        </w:rPr>
        <w:t>1.2技术标：</w:t>
      </w:r>
      <w:r>
        <w:rPr>
          <w:rFonts w:hint="eastAsia" w:ascii="宋体" w:hAnsi="宋体" w:eastAsia="宋体" w:cs="宋体"/>
          <w:color w:val="auto"/>
          <w:kern w:val="0"/>
          <w:sz w:val="24"/>
          <w:szCs w:val="24"/>
          <w:highlight w:val="none"/>
          <w:u w:val="single"/>
          <w:lang w:val="en-US" w:eastAsia="zh-CN" w:bidi="ar"/>
        </w:rPr>
        <w:t>在满足技术要求，技术标得分不小于</w:t>
      </w:r>
      <w:r>
        <w:rPr>
          <w:rFonts w:hint="eastAsia" w:ascii="宋体" w:hAnsi="宋体" w:cs="宋体"/>
          <w:color w:val="auto"/>
          <w:kern w:val="0"/>
          <w:sz w:val="24"/>
          <w:szCs w:val="24"/>
          <w:highlight w:val="none"/>
          <w:u w:val="single"/>
          <w:lang w:val="en-US" w:eastAsia="zh-CN" w:bidi="ar"/>
        </w:rPr>
        <w:t>7</w:t>
      </w:r>
      <w:r>
        <w:rPr>
          <w:rFonts w:hint="eastAsia" w:ascii="宋体" w:hAnsi="宋体" w:eastAsia="宋体" w:cs="宋体"/>
          <w:color w:val="auto"/>
          <w:kern w:val="0"/>
          <w:sz w:val="24"/>
          <w:szCs w:val="24"/>
          <w:highlight w:val="none"/>
          <w:u w:val="single"/>
          <w:lang w:val="en-US" w:eastAsia="zh-CN" w:bidi="ar"/>
        </w:rPr>
        <w:t>0分的前提下（含技术澄清），推荐进入商务标。</w:t>
      </w:r>
    </w:p>
    <w:p w14:paraId="7998EB95">
      <w:pPr>
        <w:pStyle w:val="15"/>
        <w:numPr>
          <w:ilvl w:val="0"/>
          <w:numId w:val="26"/>
        </w:numPr>
        <w:spacing w:line="360" w:lineRule="auto"/>
        <w:ind w:left="560" w:leftChars="0" w:firstLine="0" w:firstLineChars="0"/>
        <w:rPr>
          <w:rFonts w:hint="eastAsia" w:hAnsi="宋体"/>
          <w:color w:val="000000"/>
          <w:sz w:val="24"/>
          <w:szCs w:val="24"/>
        </w:rPr>
      </w:pPr>
      <w:r>
        <w:rPr>
          <w:rFonts w:hint="eastAsia" w:hAnsi="宋体"/>
          <w:color w:val="000000"/>
          <w:sz w:val="24"/>
          <w:szCs w:val="24"/>
          <w:lang w:val="en-US" w:eastAsia="zh-CN"/>
        </w:rPr>
        <w:t>技术标</w:t>
      </w:r>
      <w:r>
        <w:rPr>
          <w:rFonts w:hint="eastAsia" w:hAnsi="宋体"/>
          <w:color w:val="000000"/>
          <w:sz w:val="24"/>
          <w:szCs w:val="24"/>
        </w:rPr>
        <w:t>评分标准</w:t>
      </w:r>
    </w:p>
    <w:tbl>
      <w:tblPr>
        <w:tblStyle w:val="32"/>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28"/>
        <w:gridCol w:w="833"/>
        <w:gridCol w:w="2682"/>
        <w:gridCol w:w="5043"/>
      </w:tblGrid>
      <w:tr w14:paraId="270D12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72" w:type="dxa"/>
            <w:noWrap w:val="0"/>
            <w:vAlign w:val="center"/>
          </w:tcPr>
          <w:p w14:paraId="5C32CEEB">
            <w:pPr>
              <w:pStyle w:val="11"/>
              <w:jc w:val="center"/>
              <w:rPr>
                <w:rFonts w:hint="eastAsia" w:eastAsia="宋体"/>
                <w:color w:val="auto"/>
                <w:highlight w:val="none"/>
                <w:u w:val="none"/>
                <w:vertAlign w:val="baseline"/>
                <w:lang w:val="en-US" w:eastAsia="zh-CN"/>
              </w:rPr>
            </w:pPr>
            <w:r>
              <w:rPr>
                <w:rFonts w:hint="eastAsia"/>
                <w:color w:val="auto"/>
                <w:highlight w:val="none"/>
                <w:u w:val="none"/>
                <w:vertAlign w:val="baseline"/>
                <w:lang w:val="en-US" w:eastAsia="zh-CN"/>
              </w:rPr>
              <w:t>序号</w:t>
            </w:r>
          </w:p>
        </w:tc>
        <w:tc>
          <w:tcPr>
            <w:tcW w:w="900" w:type="dxa"/>
            <w:noWrap w:val="0"/>
            <w:vAlign w:val="center"/>
          </w:tcPr>
          <w:p w14:paraId="72BDB95D">
            <w:pPr>
              <w:pStyle w:val="11"/>
              <w:jc w:val="center"/>
              <w:rPr>
                <w:rFonts w:hint="eastAsia" w:eastAsia="宋体"/>
                <w:color w:val="auto"/>
                <w:highlight w:val="none"/>
                <w:u w:val="none"/>
                <w:vertAlign w:val="baseline"/>
                <w:lang w:val="en-US" w:eastAsia="zh-CN"/>
              </w:rPr>
            </w:pPr>
            <w:r>
              <w:rPr>
                <w:rFonts w:hint="eastAsia"/>
                <w:color w:val="auto"/>
                <w:highlight w:val="none"/>
                <w:u w:val="none"/>
                <w:vertAlign w:val="baseline"/>
                <w:lang w:val="en-US" w:eastAsia="zh-CN"/>
              </w:rPr>
              <w:t>类别</w:t>
            </w:r>
          </w:p>
        </w:tc>
        <w:tc>
          <w:tcPr>
            <w:tcW w:w="9010" w:type="dxa"/>
            <w:gridSpan w:val="2"/>
            <w:noWrap w:val="0"/>
            <w:vAlign w:val="center"/>
          </w:tcPr>
          <w:p w14:paraId="1F0766BF">
            <w:pPr>
              <w:pStyle w:val="11"/>
              <w:jc w:val="center"/>
              <w:rPr>
                <w:rFonts w:hint="eastAsia" w:eastAsia="宋体"/>
                <w:color w:val="auto"/>
                <w:highlight w:val="none"/>
                <w:u w:val="none"/>
                <w:vertAlign w:val="baseline"/>
                <w:lang w:val="en-US" w:eastAsia="zh-CN"/>
              </w:rPr>
            </w:pPr>
            <w:r>
              <w:rPr>
                <w:rFonts w:hint="eastAsia"/>
                <w:color w:val="auto"/>
                <w:highlight w:val="none"/>
                <w:u w:val="none"/>
                <w:vertAlign w:val="baseline"/>
                <w:lang w:val="en-US" w:eastAsia="zh-CN"/>
              </w:rPr>
              <w:t>评审内容（满分100分）</w:t>
            </w:r>
          </w:p>
        </w:tc>
      </w:tr>
      <w:tr w14:paraId="66159B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72" w:type="dxa"/>
            <w:noWrap w:val="0"/>
            <w:vAlign w:val="center"/>
          </w:tcPr>
          <w:p w14:paraId="72D58340">
            <w:pPr>
              <w:pStyle w:val="11"/>
              <w:jc w:val="center"/>
              <w:rPr>
                <w:rFonts w:hint="eastAsia" w:eastAsia="宋体"/>
                <w:color w:val="auto"/>
                <w:highlight w:val="none"/>
                <w:u w:val="none"/>
                <w:vertAlign w:val="baseline"/>
                <w:lang w:val="en-US" w:eastAsia="zh-CN"/>
              </w:rPr>
            </w:pPr>
            <w:r>
              <w:rPr>
                <w:rFonts w:hint="eastAsia"/>
                <w:color w:val="auto"/>
                <w:highlight w:val="none"/>
                <w:u w:val="none"/>
                <w:vertAlign w:val="baseline"/>
                <w:lang w:val="en-US" w:eastAsia="zh-CN"/>
              </w:rPr>
              <w:t>1</w:t>
            </w:r>
          </w:p>
        </w:tc>
        <w:tc>
          <w:tcPr>
            <w:tcW w:w="900" w:type="dxa"/>
            <w:vMerge w:val="restart"/>
            <w:noWrap w:val="0"/>
            <w:vAlign w:val="center"/>
          </w:tcPr>
          <w:p w14:paraId="4998AC39">
            <w:pPr>
              <w:pStyle w:val="11"/>
              <w:jc w:val="center"/>
              <w:rPr>
                <w:rFonts w:hint="eastAsia"/>
                <w:color w:val="auto"/>
                <w:highlight w:val="none"/>
                <w:u w:val="none"/>
                <w:vertAlign w:val="baseline"/>
                <w:lang w:val="en-US" w:eastAsia="zh-CN"/>
              </w:rPr>
            </w:pPr>
            <w:r>
              <w:rPr>
                <w:rFonts w:hint="eastAsia"/>
                <w:color w:val="auto"/>
                <w:highlight w:val="none"/>
                <w:u w:val="none"/>
                <w:vertAlign w:val="baseline"/>
                <w:lang w:val="en-US" w:eastAsia="zh-CN"/>
              </w:rPr>
              <w:t>技</w:t>
            </w:r>
          </w:p>
          <w:p w14:paraId="7F041691">
            <w:pPr>
              <w:pStyle w:val="11"/>
              <w:jc w:val="center"/>
              <w:rPr>
                <w:rFonts w:hint="eastAsia"/>
                <w:color w:val="auto"/>
                <w:highlight w:val="none"/>
                <w:u w:val="none"/>
                <w:vertAlign w:val="baseline"/>
                <w:lang w:val="en-US" w:eastAsia="zh-CN"/>
              </w:rPr>
            </w:pPr>
            <w:r>
              <w:rPr>
                <w:rFonts w:hint="eastAsia"/>
                <w:color w:val="auto"/>
                <w:highlight w:val="none"/>
                <w:u w:val="none"/>
                <w:vertAlign w:val="baseline"/>
                <w:lang w:val="en-US" w:eastAsia="zh-CN"/>
              </w:rPr>
              <w:t>术</w:t>
            </w:r>
          </w:p>
          <w:p w14:paraId="3A52218D">
            <w:pPr>
              <w:pStyle w:val="11"/>
              <w:jc w:val="center"/>
              <w:rPr>
                <w:rFonts w:hint="eastAsia"/>
                <w:color w:val="auto"/>
                <w:highlight w:val="none"/>
                <w:u w:val="none"/>
                <w:vertAlign w:val="baseline"/>
                <w:lang w:val="en-US" w:eastAsia="zh-CN"/>
              </w:rPr>
            </w:pPr>
            <w:r>
              <w:rPr>
                <w:rFonts w:hint="eastAsia"/>
                <w:color w:val="auto"/>
                <w:highlight w:val="none"/>
                <w:u w:val="none"/>
                <w:vertAlign w:val="baseline"/>
                <w:lang w:val="en-US" w:eastAsia="zh-CN"/>
              </w:rPr>
              <w:t>部</w:t>
            </w:r>
          </w:p>
          <w:p w14:paraId="7713A6DB">
            <w:pPr>
              <w:pStyle w:val="11"/>
              <w:jc w:val="center"/>
              <w:rPr>
                <w:rFonts w:hint="eastAsia" w:eastAsia="宋体"/>
                <w:color w:val="auto"/>
                <w:highlight w:val="none"/>
                <w:u w:val="none"/>
                <w:vertAlign w:val="baseline"/>
                <w:lang w:val="en-US" w:eastAsia="zh-CN"/>
              </w:rPr>
            </w:pPr>
            <w:r>
              <w:rPr>
                <w:rFonts w:hint="eastAsia"/>
                <w:color w:val="auto"/>
                <w:highlight w:val="none"/>
                <w:u w:val="none"/>
                <w:vertAlign w:val="baseline"/>
                <w:lang w:val="en-US" w:eastAsia="zh-CN"/>
              </w:rPr>
              <w:t>分</w:t>
            </w:r>
          </w:p>
        </w:tc>
        <w:tc>
          <w:tcPr>
            <w:tcW w:w="3022" w:type="dxa"/>
            <w:noWrap w:val="0"/>
            <w:vAlign w:val="center"/>
          </w:tcPr>
          <w:p w14:paraId="535B12C9">
            <w:pPr>
              <w:pStyle w:val="11"/>
              <w:jc w:val="center"/>
              <w:rPr>
                <w:rFonts w:hint="default" w:eastAsia="宋体"/>
                <w:color w:val="auto"/>
                <w:highlight w:val="none"/>
                <w:u w:val="none"/>
                <w:vertAlign w:val="baseline"/>
                <w:lang w:val="en-US" w:eastAsia="zh-CN"/>
              </w:rPr>
            </w:pPr>
            <w:r>
              <w:rPr>
                <w:rFonts w:hint="eastAsia"/>
                <w:color w:val="auto"/>
                <w:highlight w:val="none"/>
                <w:u w:val="none"/>
                <w:vertAlign w:val="baseline"/>
                <w:lang w:val="en-US" w:eastAsia="zh-CN"/>
              </w:rPr>
              <w:t>关键加工设备（0-10分）</w:t>
            </w:r>
          </w:p>
        </w:tc>
        <w:tc>
          <w:tcPr>
            <w:tcW w:w="5988" w:type="dxa"/>
            <w:noWrap w:val="0"/>
            <w:vAlign w:val="top"/>
          </w:tcPr>
          <w:p w14:paraId="3DF149DB">
            <w:pPr>
              <w:pStyle w:val="11"/>
              <w:jc w:val="left"/>
              <w:rPr>
                <w:rFonts w:hint="eastAsia" w:eastAsia="宋体"/>
                <w:color w:val="auto"/>
                <w:highlight w:val="none"/>
                <w:u w:val="none"/>
                <w:vertAlign w:val="baseline"/>
                <w:lang w:val="en-US" w:eastAsia="zh-CN"/>
              </w:rPr>
            </w:pPr>
            <w:r>
              <w:rPr>
                <w:rFonts w:hint="eastAsia"/>
                <w:color w:val="auto"/>
                <w:highlight w:val="none"/>
                <w:u w:val="none"/>
                <w:vertAlign w:val="baseline"/>
              </w:rPr>
              <w:t>提供设备品牌型号、技术参数等信息，有加工投标产品的设备能力</w:t>
            </w:r>
            <w:r>
              <w:rPr>
                <w:rFonts w:hint="eastAsia"/>
                <w:color w:val="auto"/>
                <w:highlight w:val="none"/>
                <w:u w:val="none"/>
                <w:vertAlign w:val="baseline"/>
                <w:lang w:eastAsia="zh-CN"/>
              </w:rPr>
              <w:t>。</w:t>
            </w:r>
          </w:p>
        </w:tc>
      </w:tr>
      <w:tr w14:paraId="26B90F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72" w:type="dxa"/>
            <w:noWrap w:val="0"/>
            <w:vAlign w:val="center"/>
          </w:tcPr>
          <w:p w14:paraId="5FCC6AD9">
            <w:pPr>
              <w:pStyle w:val="11"/>
              <w:jc w:val="center"/>
              <w:rPr>
                <w:rFonts w:hint="eastAsia" w:eastAsia="宋体"/>
                <w:color w:val="auto"/>
                <w:highlight w:val="none"/>
                <w:u w:val="none"/>
                <w:vertAlign w:val="baseline"/>
                <w:lang w:val="en-US" w:eastAsia="zh-CN"/>
              </w:rPr>
            </w:pPr>
            <w:r>
              <w:rPr>
                <w:rFonts w:hint="eastAsia"/>
                <w:color w:val="auto"/>
                <w:highlight w:val="none"/>
                <w:u w:val="none"/>
                <w:vertAlign w:val="baseline"/>
                <w:lang w:val="en-US" w:eastAsia="zh-CN"/>
              </w:rPr>
              <w:t>2</w:t>
            </w:r>
          </w:p>
        </w:tc>
        <w:tc>
          <w:tcPr>
            <w:tcW w:w="900" w:type="dxa"/>
            <w:vMerge w:val="continue"/>
            <w:noWrap w:val="0"/>
            <w:vAlign w:val="center"/>
          </w:tcPr>
          <w:p w14:paraId="2EF2B2DF">
            <w:pPr>
              <w:pStyle w:val="11"/>
              <w:jc w:val="center"/>
              <w:rPr>
                <w:color w:val="auto"/>
                <w:highlight w:val="none"/>
                <w:u w:val="none"/>
                <w:vertAlign w:val="baseline"/>
              </w:rPr>
            </w:pPr>
          </w:p>
        </w:tc>
        <w:tc>
          <w:tcPr>
            <w:tcW w:w="3022" w:type="dxa"/>
            <w:noWrap w:val="0"/>
            <w:vAlign w:val="center"/>
          </w:tcPr>
          <w:p w14:paraId="67C90463">
            <w:pPr>
              <w:pStyle w:val="11"/>
              <w:jc w:val="center"/>
              <w:rPr>
                <w:rFonts w:hint="default" w:eastAsia="宋体"/>
                <w:color w:val="auto"/>
                <w:highlight w:val="none"/>
                <w:u w:val="none"/>
                <w:vertAlign w:val="baseline"/>
                <w:lang w:val="en-US" w:eastAsia="zh-CN"/>
              </w:rPr>
            </w:pPr>
            <w:r>
              <w:rPr>
                <w:rFonts w:hint="eastAsia"/>
                <w:color w:val="auto"/>
                <w:highlight w:val="none"/>
                <w:u w:val="none"/>
                <w:vertAlign w:val="baseline"/>
                <w:lang w:val="en-US" w:eastAsia="zh-CN"/>
              </w:rPr>
              <w:t>检测设备（0-10分）</w:t>
            </w:r>
          </w:p>
        </w:tc>
        <w:tc>
          <w:tcPr>
            <w:tcW w:w="5988" w:type="dxa"/>
            <w:noWrap w:val="0"/>
            <w:vAlign w:val="top"/>
          </w:tcPr>
          <w:p w14:paraId="1D161EF7">
            <w:pPr>
              <w:pStyle w:val="11"/>
              <w:jc w:val="left"/>
              <w:rPr>
                <w:rFonts w:hint="eastAsia" w:eastAsia="宋体"/>
                <w:color w:val="auto"/>
                <w:highlight w:val="none"/>
                <w:u w:val="none"/>
                <w:vertAlign w:val="baseline"/>
                <w:lang w:eastAsia="zh-CN"/>
              </w:rPr>
            </w:pPr>
            <w:r>
              <w:rPr>
                <w:rFonts w:hint="eastAsia"/>
                <w:color w:val="auto"/>
                <w:highlight w:val="none"/>
                <w:u w:val="none"/>
                <w:vertAlign w:val="baseline"/>
              </w:rPr>
              <w:t>提供设备品牌型号、技术参数等信息，有检测投标产品的能力</w:t>
            </w:r>
            <w:r>
              <w:rPr>
                <w:rFonts w:hint="eastAsia"/>
                <w:color w:val="auto"/>
                <w:highlight w:val="none"/>
                <w:u w:val="none"/>
                <w:vertAlign w:val="baseline"/>
                <w:lang w:eastAsia="zh-CN"/>
              </w:rPr>
              <w:t>。</w:t>
            </w:r>
          </w:p>
        </w:tc>
      </w:tr>
      <w:tr w14:paraId="73BB3F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72" w:type="dxa"/>
            <w:noWrap w:val="0"/>
            <w:vAlign w:val="center"/>
          </w:tcPr>
          <w:p w14:paraId="697B894A">
            <w:pPr>
              <w:pStyle w:val="11"/>
              <w:jc w:val="center"/>
              <w:rPr>
                <w:rFonts w:hint="eastAsia" w:eastAsia="宋体"/>
                <w:color w:val="auto"/>
                <w:highlight w:val="none"/>
                <w:u w:val="none"/>
                <w:vertAlign w:val="baseline"/>
                <w:lang w:val="en-US" w:eastAsia="zh-CN"/>
              </w:rPr>
            </w:pPr>
            <w:r>
              <w:rPr>
                <w:rFonts w:hint="eastAsia"/>
                <w:color w:val="auto"/>
                <w:highlight w:val="none"/>
                <w:u w:val="none"/>
                <w:vertAlign w:val="baseline"/>
                <w:lang w:val="en-US" w:eastAsia="zh-CN"/>
              </w:rPr>
              <w:t>3</w:t>
            </w:r>
          </w:p>
        </w:tc>
        <w:tc>
          <w:tcPr>
            <w:tcW w:w="900" w:type="dxa"/>
            <w:vMerge w:val="continue"/>
            <w:noWrap w:val="0"/>
            <w:vAlign w:val="center"/>
          </w:tcPr>
          <w:p w14:paraId="06C1ABA5">
            <w:pPr>
              <w:pStyle w:val="11"/>
              <w:jc w:val="center"/>
              <w:rPr>
                <w:color w:val="auto"/>
                <w:highlight w:val="none"/>
                <w:u w:val="none"/>
                <w:vertAlign w:val="baseline"/>
              </w:rPr>
            </w:pPr>
          </w:p>
        </w:tc>
        <w:tc>
          <w:tcPr>
            <w:tcW w:w="3022" w:type="dxa"/>
            <w:noWrap w:val="0"/>
            <w:vAlign w:val="center"/>
          </w:tcPr>
          <w:p w14:paraId="2749EE42">
            <w:pPr>
              <w:pStyle w:val="11"/>
              <w:jc w:val="center"/>
              <w:rPr>
                <w:rFonts w:hint="default" w:eastAsia="宋体"/>
                <w:color w:val="auto"/>
                <w:highlight w:val="none"/>
                <w:u w:val="none"/>
                <w:vertAlign w:val="baseline"/>
                <w:lang w:val="en-US" w:eastAsia="zh-CN"/>
              </w:rPr>
            </w:pPr>
            <w:r>
              <w:rPr>
                <w:rFonts w:hint="eastAsia"/>
                <w:color w:val="auto"/>
                <w:highlight w:val="none"/>
                <w:u w:val="none"/>
                <w:vertAlign w:val="baseline"/>
                <w:lang w:val="en-US" w:eastAsia="zh-CN"/>
              </w:rPr>
              <w:t>工装模具设计能力及制作工艺水平（0-10分）</w:t>
            </w:r>
          </w:p>
        </w:tc>
        <w:tc>
          <w:tcPr>
            <w:tcW w:w="5988" w:type="dxa"/>
            <w:noWrap w:val="0"/>
            <w:vAlign w:val="top"/>
          </w:tcPr>
          <w:p w14:paraId="587ADDC3">
            <w:pPr>
              <w:pStyle w:val="11"/>
              <w:jc w:val="left"/>
              <w:rPr>
                <w:rFonts w:hint="eastAsia" w:eastAsia="宋体"/>
                <w:color w:val="auto"/>
                <w:highlight w:val="none"/>
                <w:u w:val="none"/>
                <w:vertAlign w:val="baseline"/>
                <w:lang w:eastAsia="zh-CN"/>
              </w:rPr>
            </w:pPr>
            <w:r>
              <w:rPr>
                <w:rFonts w:hint="eastAsia"/>
                <w:color w:val="auto"/>
                <w:highlight w:val="none"/>
                <w:u w:val="none"/>
                <w:vertAlign w:val="baseline"/>
              </w:rPr>
              <w:t>提供中高级职称人员证书复印件及社保参保证明;制作工艺描述等</w:t>
            </w:r>
            <w:r>
              <w:rPr>
                <w:rFonts w:hint="eastAsia"/>
                <w:color w:val="auto"/>
                <w:highlight w:val="none"/>
                <w:u w:val="none"/>
                <w:vertAlign w:val="baseline"/>
                <w:lang w:eastAsia="zh-CN"/>
              </w:rPr>
              <w:t>。</w:t>
            </w:r>
          </w:p>
        </w:tc>
      </w:tr>
      <w:tr w14:paraId="2629BE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72" w:type="dxa"/>
            <w:noWrap w:val="0"/>
            <w:vAlign w:val="center"/>
          </w:tcPr>
          <w:p w14:paraId="1F7FF175">
            <w:pPr>
              <w:pStyle w:val="11"/>
              <w:jc w:val="center"/>
              <w:rPr>
                <w:rFonts w:hint="eastAsia" w:eastAsia="宋体"/>
                <w:color w:val="auto"/>
                <w:highlight w:val="none"/>
                <w:u w:val="none"/>
                <w:vertAlign w:val="baseline"/>
                <w:lang w:val="en-US" w:eastAsia="zh-CN"/>
              </w:rPr>
            </w:pPr>
            <w:r>
              <w:rPr>
                <w:rFonts w:hint="eastAsia"/>
                <w:color w:val="auto"/>
                <w:highlight w:val="none"/>
                <w:u w:val="none"/>
                <w:vertAlign w:val="baseline"/>
                <w:lang w:val="en-US" w:eastAsia="zh-CN"/>
              </w:rPr>
              <w:t>4</w:t>
            </w:r>
          </w:p>
        </w:tc>
        <w:tc>
          <w:tcPr>
            <w:tcW w:w="900" w:type="dxa"/>
            <w:vMerge w:val="continue"/>
            <w:noWrap w:val="0"/>
            <w:vAlign w:val="center"/>
          </w:tcPr>
          <w:p w14:paraId="5468028B">
            <w:pPr>
              <w:pStyle w:val="11"/>
              <w:jc w:val="center"/>
              <w:rPr>
                <w:color w:val="auto"/>
                <w:highlight w:val="none"/>
                <w:u w:val="none"/>
                <w:vertAlign w:val="baseline"/>
              </w:rPr>
            </w:pPr>
          </w:p>
        </w:tc>
        <w:tc>
          <w:tcPr>
            <w:tcW w:w="3022" w:type="dxa"/>
            <w:noWrap w:val="0"/>
            <w:vAlign w:val="center"/>
          </w:tcPr>
          <w:p w14:paraId="1F92B020">
            <w:pPr>
              <w:pStyle w:val="11"/>
              <w:jc w:val="center"/>
              <w:rPr>
                <w:rFonts w:hint="default" w:eastAsia="宋体"/>
                <w:color w:val="auto"/>
                <w:highlight w:val="none"/>
                <w:u w:val="none"/>
                <w:vertAlign w:val="baseline"/>
                <w:lang w:val="en-US" w:eastAsia="zh-CN"/>
              </w:rPr>
            </w:pPr>
            <w:r>
              <w:rPr>
                <w:rFonts w:hint="eastAsia"/>
                <w:color w:val="auto"/>
                <w:highlight w:val="none"/>
                <w:u w:val="none"/>
                <w:vertAlign w:val="baseline"/>
                <w:lang w:val="en-US" w:eastAsia="zh-CN"/>
              </w:rPr>
              <w:t>计算机模拟能力（0-10分）</w:t>
            </w:r>
          </w:p>
        </w:tc>
        <w:tc>
          <w:tcPr>
            <w:tcW w:w="5988" w:type="dxa"/>
            <w:noWrap w:val="0"/>
            <w:vAlign w:val="top"/>
          </w:tcPr>
          <w:p w14:paraId="67A71FD5">
            <w:pPr>
              <w:pStyle w:val="11"/>
              <w:jc w:val="left"/>
              <w:rPr>
                <w:rFonts w:hint="eastAsia" w:eastAsia="宋体"/>
                <w:color w:val="auto"/>
                <w:highlight w:val="none"/>
                <w:u w:val="none"/>
                <w:vertAlign w:val="baseline"/>
                <w:lang w:eastAsia="zh-CN"/>
              </w:rPr>
            </w:pPr>
            <w:r>
              <w:rPr>
                <w:rFonts w:hint="eastAsia"/>
                <w:color w:val="auto"/>
                <w:highlight w:val="none"/>
                <w:u w:val="none"/>
                <w:vertAlign w:val="baseline"/>
              </w:rPr>
              <w:t>有三维设计软件</w:t>
            </w:r>
            <w:r>
              <w:rPr>
                <w:rFonts w:hint="eastAsia" w:ascii="Times New Roman" w:hAnsi="Times New Roman" w:eastAsia="宋体" w:cs="Times New Roman"/>
                <w:color w:val="auto"/>
                <w:highlight w:val="none"/>
                <w:u w:val="none"/>
                <w:vertAlign w:val="baseline"/>
              </w:rPr>
              <w:t>和锻造模拟仿真软件</w:t>
            </w:r>
            <w:r>
              <w:rPr>
                <w:rFonts w:hint="eastAsia"/>
                <w:color w:val="auto"/>
                <w:highlight w:val="none"/>
                <w:u w:val="none"/>
                <w:vertAlign w:val="baseline"/>
                <w:lang w:eastAsia="zh-CN"/>
              </w:rPr>
              <w:t>。</w:t>
            </w:r>
          </w:p>
        </w:tc>
      </w:tr>
      <w:tr w14:paraId="568742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72" w:type="dxa"/>
            <w:noWrap w:val="0"/>
            <w:vAlign w:val="center"/>
          </w:tcPr>
          <w:p w14:paraId="549A8BD5">
            <w:pPr>
              <w:pStyle w:val="11"/>
              <w:jc w:val="center"/>
              <w:rPr>
                <w:rFonts w:hint="eastAsia" w:eastAsia="宋体"/>
                <w:color w:val="auto"/>
                <w:highlight w:val="none"/>
                <w:u w:val="none"/>
                <w:vertAlign w:val="baseline"/>
                <w:lang w:val="en-US" w:eastAsia="zh-CN"/>
              </w:rPr>
            </w:pPr>
            <w:r>
              <w:rPr>
                <w:rFonts w:hint="eastAsia"/>
                <w:color w:val="auto"/>
                <w:highlight w:val="none"/>
                <w:u w:val="none"/>
                <w:vertAlign w:val="baseline"/>
                <w:lang w:val="en-US" w:eastAsia="zh-CN"/>
              </w:rPr>
              <w:t>5</w:t>
            </w:r>
          </w:p>
        </w:tc>
        <w:tc>
          <w:tcPr>
            <w:tcW w:w="900" w:type="dxa"/>
            <w:vMerge w:val="continue"/>
            <w:noWrap w:val="0"/>
            <w:vAlign w:val="center"/>
          </w:tcPr>
          <w:p w14:paraId="5F98ACFF">
            <w:pPr>
              <w:pStyle w:val="11"/>
              <w:jc w:val="center"/>
              <w:rPr>
                <w:color w:val="auto"/>
                <w:highlight w:val="none"/>
                <w:u w:val="none"/>
                <w:vertAlign w:val="baseline"/>
              </w:rPr>
            </w:pPr>
          </w:p>
        </w:tc>
        <w:tc>
          <w:tcPr>
            <w:tcW w:w="3022" w:type="dxa"/>
            <w:noWrap w:val="0"/>
            <w:vAlign w:val="center"/>
          </w:tcPr>
          <w:p w14:paraId="5B70C151">
            <w:pPr>
              <w:pStyle w:val="11"/>
              <w:jc w:val="center"/>
              <w:rPr>
                <w:rFonts w:hint="eastAsia" w:eastAsia="宋体"/>
                <w:color w:val="auto"/>
                <w:highlight w:val="none"/>
                <w:u w:val="none"/>
                <w:vertAlign w:val="baseline"/>
                <w:lang w:val="en-US" w:eastAsia="zh-CN"/>
              </w:rPr>
            </w:pPr>
            <w:r>
              <w:rPr>
                <w:rFonts w:hint="eastAsia"/>
                <w:color w:val="auto"/>
                <w:highlight w:val="none"/>
                <w:u w:val="none"/>
                <w:vertAlign w:val="baseline"/>
                <w:lang w:val="en-US" w:eastAsia="zh-CN"/>
              </w:rPr>
              <w:t>类似业绩（0-10分）</w:t>
            </w:r>
          </w:p>
        </w:tc>
        <w:tc>
          <w:tcPr>
            <w:tcW w:w="5988" w:type="dxa"/>
            <w:noWrap w:val="0"/>
            <w:vAlign w:val="top"/>
          </w:tcPr>
          <w:p w14:paraId="1958584A">
            <w:pPr>
              <w:pStyle w:val="11"/>
              <w:jc w:val="left"/>
              <w:rPr>
                <w:rFonts w:hint="default" w:eastAsia="宋体"/>
                <w:color w:val="auto"/>
                <w:highlight w:val="none"/>
                <w:u w:val="none"/>
                <w:vertAlign w:val="baseline"/>
                <w:lang w:val="en-US" w:eastAsia="zh-CN"/>
              </w:rPr>
            </w:pPr>
            <w:r>
              <w:rPr>
                <w:rFonts w:hint="eastAsia"/>
                <w:color w:val="auto"/>
                <w:highlight w:val="none"/>
                <w:u w:val="none"/>
                <w:vertAlign w:val="baseline"/>
              </w:rPr>
              <w:t>与招标产品、生产设备、生产工艺类似业绩，业绩较好得</w:t>
            </w:r>
            <w:r>
              <w:rPr>
                <w:rFonts w:hint="eastAsia"/>
                <w:color w:val="auto"/>
                <w:highlight w:val="none"/>
                <w:u w:val="none"/>
                <w:vertAlign w:val="baseline"/>
                <w:lang w:val="en-US" w:eastAsia="zh-CN"/>
              </w:rPr>
              <w:t>6-10</w:t>
            </w:r>
            <w:r>
              <w:rPr>
                <w:rFonts w:hint="eastAsia"/>
                <w:color w:val="auto"/>
                <w:highlight w:val="none"/>
                <w:u w:val="none"/>
                <w:vertAlign w:val="baseline"/>
              </w:rPr>
              <w:t xml:space="preserve">分，业绩一般得 </w:t>
            </w:r>
            <w:r>
              <w:rPr>
                <w:rFonts w:hint="eastAsia"/>
                <w:color w:val="auto"/>
                <w:highlight w:val="none"/>
                <w:u w:val="none"/>
                <w:vertAlign w:val="baseline"/>
                <w:lang w:val="en-US" w:eastAsia="zh-CN"/>
              </w:rPr>
              <w:t>5</w:t>
            </w:r>
            <w:r>
              <w:rPr>
                <w:rFonts w:hint="eastAsia"/>
                <w:color w:val="auto"/>
                <w:highlight w:val="none"/>
                <w:u w:val="none"/>
                <w:vertAlign w:val="baseline"/>
              </w:rPr>
              <w:t xml:space="preserve">分;与招标产品、生产设备、生产工艺部分类似业绩，得 </w:t>
            </w:r>
            <w:r>
              <w:rPr>
                <w:rFonts w:hint="eastAsia"/>
                <w:color w:val="auto"/>
                <w:highlight w:val="none"/>
                <w:u w:val="none"/>
                <w:vertAlign w:val="baseline"/>
                <w:lang w:val="en-US" w:eastAsia="zh-CN"/>
              </w:rPr>
              <w:t>1</w:t>
            </w:r>
            <w:r>
              <w:rPr>
                <w:rFonts w:hint="eastAsia"/>
                <w:color w:val="auto"/>
                <w:highlight w:val="none"/>
                <w:u w:val="none"/>
                <w:vertAlign w:val="baseline"/>
              </w:rPr>
              <w:t>-</w:t>
            </w:r>
            <w:r>
              <w:rPr>
                <w:rFonts w:hint="eastAsia"/>
                <w:color w:val="auto"/>
                <w:highlight w:val="none"/>
                <w:u w:val="none"/>
                <w:vertAlign w:val="baseline"/>
                <w:lang w:val="en-US" w:eastAsia="zh-CN"/>
              </w:rPr>
              <w:t>4</w:t>
            </w:r>
            <w:r>
              <w:rPr>
                <w:rFonts w:hint="eastAsia"/>
                <w:color w:val="auto"/>
                <w:highlight w:val="none"/>
                <w:u w:val="none"/>
                <w:vertAlign w:val="baseline"/>
              </w:rPr>
              <w:t>分;无</w:t>
            </w:r>
            <w:r>
              <w:rPr>
                <w:rFonts w:hint="eastAsia"/>
                <w:color w:val="auto"/>
                <w:highlight w:val="none"/>
                <w:u w:val="none"/>
                <w:vertAlign w:val="baseline"/>
                <w:lang w:val="en-US" w:eastAsia="zh-CN"/>
              </w:rPr>
              <w:t>类似业绩得0分。</w:t>
            </w:r>
          </w:p>
        </w:tc>
      </w:tr>
      <w:tr w14:paraId="7733A9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72" w:type="dxa"/>
            <w:noWrap w:val="0"/>
            <w:vAlign w:val="center"/>
          </w:tcPr>
          <w:p w14:paraId="0312BB73">
            <w:pPr>
              <w:pStyle w:val="11"/>
              <w:jc w:val="center"/>
              <w:rPr>
                <w:rFonts w:hint="eastAsia" w:eastAsia="宋体"/>
                <w:color w:val="auto"/>
                <w:highlight w:val="none"/>
                <w:u w:val="none"/>
                <w:vertAlign w:val="baseline"/>
                <w:lang w:val="en-US" w:eastAsia="zh-CN"/>
              </w:rPr>
            </w:pPr>
            <w:r>
              <w:rPr>
                <w:rFonts w:hint="eastAsia"/>
                <w:color w:val="auto"/>
                <w:highlight w:val="none"/>
                <w:u w:val="none"/>
                <w:vertAlign w:val="baseline"/>
                <w:lang w:val="en-US" w:eastAsia="zh-CN"/>
              </w:rPr>
              <w:t>6</w:t>
            </w:r>
          </w:p>
        </w:tc>
        <w:tc>
          <w:tcPr>
            <w:tcW w:w="900" w:type="dxa"/>
            <w:vMerge w:val="continue"/>
            <w:noWrap w:val="0"/>
            <w:vAlign w:val="center"/>
          </w:tcPr>
          <w:p w14:paraId="20D2034B">
            <w:pPr>
              <w:pStyle w:val="11"/>
              <w:jc w:val="center"/>
              <w:rPr>
                <w:color w:val="auto"/>
                <w:highlight w:val="none"/>
                <w:u w:val="none"/>
                <w:vertAlign w:val="baseline"/>
              </w:rPr>
            </w:pPr>
          </w:p>
        </w:tc>
        <w:tc>
          <w:tcPr>
            <w:tcW w:w="3022" w:type="dxa"/>
            <w:noWrap w:val="0"/>
            <w:vAlign w:val="center"/>
          </w:tcPr>
          <w:p w14:paraId="18C48768">
            <w:pPr>
              <w:pStyle w:val="11"/>
              <w:jc w:val="center"/>
              <w:rPr>
                <w:rFonts w:hint="default" w:eastAsia="宋体"/>
                <w:color w:val="auto"/>
                <w:highlight w:val="none"/>
                <w:u w:val="none"/>
                <w:vertAlign w:val="baseline"/>
                <w:lang w:val="en-US" w:eastAsia="zh-CN"/>
              </w:rPr>
            </w:pPr>
            <w:r>
              <w:rPr>
                <w:rFonts w:hint="eastAsia"/>
                <w:color w:val="auto"/>
                <w:highlight w:val="none"/>
                <w:u w:val="none"/>
                <w:vertAlign w:val="baseline"/>
                <w:lang w:val="en-US" w:eastAsia="zh-CN"/>
              </w:rPr>
              <w:t>工艺方案整体描述（0-10分）</w:t>
            </w:r>
          </w:p>
        </w:tc>
        <w:tc>
          <w:tcPr>
            <w:tcW w:w="5988" w:type="dxa"/>
            <w:noWrap w:val="0"/>
            <w:vAlign w:val="top"/>
          </w:tcPr>
          <w:p w14:paraId="1876E5AE">
            <w:pPr>
              <w:pStyle w:val="11"/>
              <w:jc w:val="left"/>
              <w:rPr>
                <w:color w:val="auto"/>
                <w:highlight w:val="none"/>
                <w:u w:val="none"/>
                <w:vertAlign w:val="baseline"/>
              </w:rPr>
            </w:pPr>
            <w:r>
              <w:rPr>
                <w:rFonts w:hint="eastAsia"/>
                <w:color w:val="auto"/>
                <w:highlight w:val="none"/>
                <w:u w:val="none"/>
                <w:vertAlign w:val="baseline"/>
              </w:rPr>
              <w:t>根据投标书总体描述情况或现场答疑情况由专家自主综合评价。</w:t>
            </w:r>
          </w:p>
        </w:tc>
      </w:tr>
      <w:tr w14:paraId="3B1759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72" w:type="dxa"/>
            <w:noWrap w:val="0"/>
            <w:vAlign w:val="center"/>
          </w:tcPr>
          <w:p w14:paraId="1A656440">
            <w:pPr>
              <w:pStyle w:val="11"/>
              <w:jc w:val="center"/>
              <w:rPr>
                <w:rFonts w:hint="eastAsia" w:eastAsia="宋体"/>
                <w:color w:val="auto"/>
                <w:highlight w:val="none"/>
                <w:u w:val="none"/>
                <w:vertAlign w:val="baseline"/>
                <w:lang w:val="en-US" w:eastAsia="zh-CN"/>
              </w:rPr>
            </w:pPr>
            <w:r>
              <w:rPr>
                <w:rFonts w:hint="eastAsia"/>
                <w:color w:val="auto"/>
                <w:highlight w:val="none"/>
                <w:u w:val="none"/>
                <w:vertAlign w:val="baseline"/>
                <w:lang w:val="en-US" w:eastAsia="zh-CN"/>
              </w:rPr>
              <w:t>7</w:t>
            </w:r>
          </w:p>
        </w:tc>
        <w:tc>
          <w:tcPr>
            <w:tcW w:w="900" w:type="dxa"/>
            <w:vMerge w:val="continue"/>
            <w:noWrap w:val="0"/>
            <w:vAlign w:val="center"/>
          </w:tcPr>
          <w:p w14:paraId="595E3B52">
            <w:pPr>
              <w:pStyle w:val="11"/>
              <w:jc w:val="center"/>
              <w:rPr>
                <w:color w:val="auto"/>
                <w:highlight w:val="none"/>
                <w:u w:val="none"/>
                <w:vertAlign w:val="baseline"/>
              </w:rPr>
            </w:pPr>
          </w:p>
        </w:tc>
        <w:tc>
          <w:tcPr>
            <w:tcW w:w="3022" w:type="dxa"/>
            <w:noWrap w:val="0"/>
            <w:vAlign w:val="center"/>
          </w:tcPr>
          <w:p w14:paraId="66B9F654">
            <w:pPr>
              <w:pStyle w:val="11"/>
              <w:jc w:val="center"/>
              <w:rPr>
                <w:rFonts w:hint="eastAsia" w:eastAsia="宋体"/>
                <w:color w:val="auto"/>
                <w:highlight w:val="none"/>
                <w:u w:val="none"/>
                <w:vertAlign w:val="baseline"/>
                <w:lang w:val="en-US" w:eastAsia="zh-CN"/>
              </w:rPr>
            </w:pPr>
            <w:r>
              <w:rPr>
                <w:rFonts w:hint="eastAsia"/>
                <w:color w:val="auto"/>
                <w:highlight w:val="none"/>
                <w:u w:val="none"/>
                <w:vertAlign w:val="baseline"/>
                <w:lang w:val="en-US" w:eastAsia="zh-CN"/>
              </w:rPr>
              <w:t>供货周期（0-20分）</w:t>
            </w:r>
          </w:p>
        </w:tc>
        <w:tc>
          <w:tcPr>
            <w:tcW w:w="5988" w:type="dxa"/>
            <w:noWrap w:val="0"/>
            <w:vAlign w:val="top"/>
          </w:tcPr>
          <w:p w14:paraId="14C5418C">
            <w:pPr>
              <w:pStyle w:val="11"/>
              <w:jc w:val="left"/>
              <w:rPr>
                <w:color w:val="auto"/>
                <w:highlight w:val="none"/>
                <w:u w:val="none"/>
                <w:vertAlign w:val="baseline"/>
              </w:rPr>
            </w:pPr>
            <w:r>
              <w:rPr>
                <w:rFonts w:hint="eastAsia"/>
                <w:color w:val="auto"/>
                <w:highlight w:val="none"/>
                <w:u w:val="none"/>
                <w:vertAlign w:val="baseline"/>
              </w:rPr>
              <w:t>优于招标文件要求得6-</w:t>
            </w:r>
            <w:r>
              <w:rPr>
                <w:rFonts w:hint="eastAsia"/>
                <w:color w:val="auto"/>
                <w:highlight w:val="none"/>
                <w:u w:val="none"/>
                <w:vertAlign w:val="baseline"/>
                <w:lang w:val="en-US" w:eastAsia="zh-CN"/>
              </w:rPr>
              <w:t>20</w:t>
            </w:r>
            <w:r>
              <w:rPr>
                <w:rFonts w:hint="eastAsia"/>
                <w:color w:val="auto"/>
                <w:highlight w:val="none"/>
                <w:u w:val="none"/>
                <w:vertAlign w:val="baseline"/>
              </w:rPr>
              <w:t>分;满足招标文件要求得5分;不满足0分。</w:t>
            </w:r>
          </w:p>
        </w:tc>
      </w:tr>
      <w:tr w14:paraId="6A7EE8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72" w:type="dxa"/>
            <w:noWrap w:val="0"/>
            <w:vAlign w:val="center"/>
          </w:tcPr>
          <w:p w14:paraId="78B56F71">
            <w:pPr>
              <w:pStyle w:val="11"/>
              <w:jc w:val="center"/>
              <w:rPr>
                <w:rFonts w:hint="eastAsia" w:eastAsia="宋体"/>
                <w:color w:val="auto"/>
                <w:highlight w:val="none"/>
                <w:u w:val="none"/>
                <w:vertAlign w:val="baseline"/>
                <w:lang w:val="en-US" w:eastAsia="zh-CN"/>
              </w:rPr>
            </w:pPr>
            <w:r>
              <w:rPr>
                <w:rFonts w:hint="eastAsia"/>
                <w:color w:val="auto"/>
                <w:highlight w:val="none"/>
                <w:u w:val="none"/>
                <w:vertAlign w:val="baseline"/>
                <w:lang w:val="en-US" w:eastAsia="zh-CN"/>
              </w:rPr>
              <w:t>8</w:t>
            </w:r>
          </w:p>
        </w:tc>
        <w:tc>
          <w:tcPr>
            <w:tcW w:w="900" w:type="dxa"/>
            <w:vMerge w:val="continue"/>
            <w:noWrap w:val="0"/>
            <w:vAlign w:val="center"/>
          </w:tcPr>
          <w:p w14:paraId="54EB3C8E">
            <w:pPr>
              <w:pStyle w:val="11"/>
              <w:jc w:val="center"/>
              <w:rPr>
                <w:color w:val="auto"/>
                <w:highlight w:val="none"/>
                <w:u w:val="none"/>
                <w:vertAlign w:val="baseline"/>
              </w:rPr>
            </w:pPr>
          </w:p>
        </w:tc>
        <w:tc>
          <w:tcPr>
            <w:tcW w:w="3022" w:type="dxa"/>
            <w:noWrap w:val="0"/>
            <w:vAlign w:val="center"/>
          </w:tcPr>
          <w:p w14:paraId="7BE269AD">
            <w:pPr>
              <w:pStyle w:val="11"/>
              <w:jc w:val="center"/>
              <w:rPr>
                <w:rFonts w:hint="default" w:eastAsia="宋体"/>
                <w:color w:val="auto"/>
                <w:highlight w:val="none"/>
                <w:u w:val="none"/>
                <w:vertAlign w:val="baseline"/>
                <w:lang w:val="en-US" w:eastAsia="zh-CN"/>
              </w:rPr>
            </w:pPr>
            <w:r>
              <w:rPr>
                <w:rFonts w:hint="eastAsia"/>
                <w:color w:val="auto"/>
                <w:highlight w:val="none"/>
                <w:u w:val="none"/>
                <w:vertAlign w:val="baseline"/>
                <w:lang w:val="en-US" w:eastAsia="zh-CN"/>
              </w:rPr>
              <w:t>质保期及售后服务（0-20分）</w:t>
            </w:r>
          </w:p>
        </w:tc>
        <w:tc>
          <w:tcPr>
            <w:tcW w:w="5988" w:type="dxa"/>
            <w:noWrap w:val="0"/>
            <w:vAlign w:val="top"/>
          </w:tcPr>
          <w:p w14:paraId="5763EC7B">
            <w:pPr>
              <w:pStyle w:val="11"/>
              <w:jc w:val="left"/>
              <w:rPr>
                <w:color w:val="auto"/>
                <w:highlight w:val="none"/>
                <w:u w:val="none"/>
                <w:vertAlign w:val="baseline"/>
              </w:rPr>
            </w:pPr>
            <w:r>
              <w:rPr>
                <w:rFonts w:hint="eastAsia"/>
                <w:color w:val="auto"/>
                <w:highlight w:val="none"/>
                <w:u w:val="none"/>
                <w:vertAlign w:val="baseline"/>
              </w:rPr>
              <w:t>售后服务措施得当，质保期优于招标文件要求 6-</w:t>
            </w:r>
            <w:r>
              <w:rPr>
                <w:rFonts w:hint="eastAsia"/>
                <w:color w:val="auto"/>
                <w:highlight w:val="none"/>
                <w:u w:val="none"/>
                <w:vertAlign w:val="baseline"/>
                <w:lang w:val="en-US" w:eastAsia="zh-CN"/>
              </w:rPr>
              <w:t>20</w:t>
            </w:r>
            <w:r>
              <w:rPr>
                <w:rFonts w:hint="eastAsia"/>
                <w:color w:val="auto"/>
                <w:highlight w:val="none"/>
                <w:u w:val="none"/>
                <w:vertAlign w:val="baseline"/>
              </w:rPr>
              <w:t>分、满足招标文件要求5分;不满足0分。</w:t>
            </w:r>
          </w:p>
        </w:tc>
      </w:tr>
    </w:tbl>
    <w:p w14:paraId="553393D5">
      <w:pPr>
        <w:pStyle w:val="15"/>
        <w:widowControl w:val="0"/>
        <w:numPr>
          <w:ilvl w:val="0"/>
          <w:numId w:val="0"/>
        </w:numPr>
        <w:spacing w:line="360" w:lineRule="auto"/>
        <w:jc w:val="both"/>
        <w:rPr>
          <w:rFonts w:hint="eastAsia" w:hAnsi="宋体"/>
          <w:color w:val="000000"/>
          <w:sz w:val="24"/>
          <w:szCs w:val="24"/>
        </w:rPr>
      </w:pPr>
    </w:p>
    <w:p w14:paraId="6F3A0F88">
      <w:pPr>
        <w:pStyle w:val="15"/>
        <w:spacing w:line="240" w:lineRule="auto"/>
        <w:rPr>
          <w:rFonts w:hint="eastAsia" w:ascii="Times New Roman" w:hAnsi="Times New Roman"/>
          <w:color w:val="000000"/>
          <w:sz w:val="24"/>
          <w:szCs w:val="24"/>
        </w:rPr>
      </w:pPr>
    </w:p>
    <w:p w14:paraId="57745C3B">
      <w:pPr>
        <w:tabs>
          <w:tab w:val="left" w:pos="1140"/>
        </w:tabs>
        <w:spacing w:line="480" w:lineRule="exact"/>
        <w:jc w:val="left"/>
        <w:rPr>
          <w:rFonts w:hint="eastAsia"/>
          <w:sz w:val="24"/>
          <w:szCs w:val="24"/>
        </w:rPr>
      </w:pPr>
    </w:p>
    <w:p w14:paraId="1E38F58E">
      <w:pPr>
        <w:ind w:firstLine="240" w:firstLineChars="100"/>
        <w:rPr>
          <w:rFonts w:hint="eastAsia" w:eastAsia="宋体" w:asciiTheme="minorEastAsia" w:hAnsi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六、济南成型厂对采购产品质量相关要求详见附件</w:t>
      </w:r>
      <w:r>
        <w:rPr>
          <w:rFonts w:hint="eastAsia" w:ascii="宋体" w:hAnsi="宋体"/>
          <w:color w:val="auto"/>
          <w:szCs w:val="21"/>
        </w:rPr>
        <w:t>《采购产品质量保证与服务协议》</w:t>
      </w:r>
      <w:r>
        <w:rPr>
          <w:rFonts w:hint="eastAsia" w:ascii="宋体" w:hAnsi="宋体"/>
          <w:color w:val="auto"/>
          <w:szCs w:val="21"/>
          <w:lang w:eastAsia="zh-CN"/>
        </w:rPr>
        <w:t>。</w:t>
      </w:r>
    </w:p>
    <w:p w14:paraId="3A99FAD1">
      <w:pPr>
        <w:rPr>
          <w:rFonts w:hint="eastAsia" w:asciiTheme="minorEastAsia" w:hAnsiTheme="minorEastAsia" w:eastAsiaTheme="minorEastAsia" w:cstheme="minorEastAsia"/>
          <w:sz w:val="24"/>
          <w:szCs w:val="24"/>
        </w:rPr>
      </w:pPr>
    </w:p>
    <w:p w14:paraId="03073FA8"/>
    <w:p w14:paraId="2C355314"/>
    <w:p w14:paraId="04AE3269"/>
    <w:p w14:paraId="738C955C"/>
    <w:p w14:paraId="016D1511">
      <w:pPr>
        <w:spacing w:line="490" w:lineRule="exact"/>
        <w:jc w:val="both"/>
        <w:rPr>
          <w:rFonts w:hint="eastAsia" w:ascii="黑体" w:hAnsi="黑体" w:eastAsia="黑体"/>
          <w:b/>
          <w:bCs/>
          <w:sz w:val="44"/>
          <w:szCs w:val="44"/>
        </w:rPr>
      </w:pPr>
    </w:p>
    <w:p w14:paraId="224D23CE">
      <w:pPr>
        <w:spacing w:line="490" w:lineRule="exact"/>
        <w:ind w:firstLine="2650" w:firstLineChars="600"/>
        <w:jc w:val="both"/>
        <w:rPr>
          <w:rFonts w:hint="eastAsia" w:ascii="黑体" w:eastAsia="黑体"/>
          <w:sz w:val="44"/>
          <w:szCs w:val="44"/>
          <w:lang w:val="en-US" w:eastAsia="zh-CN"/>
        </w:rPr>
      </w:pPr>
      <w:r>
        <w:rPr>
          <w:rFonts w:hint="eastAsia" w:ascii="黑体" w:hAnsi="黑体" w:eastAsia="黑体"/>
          <w:b/>
          <w:bCs/>
          <w:sz w:val="44"/>
          <w:szCs w:val="44"/>
        </w:rPr>
        <w:t>投标文件格式</w:t>
      </w:r>
      <w:r>
        <w:rPr>
          <w:rFonts w:hint="eastAsia" w:ascii="黑体" w:hAnsi="黑体" w:eastAsia="黑体"/>
          <w:b/>
          <w:bCs/>
          <w:sz w:val="44"/>
          <w:szCs w:val="44"/>
          <w:lang w:val="en-US" w:eastAsia="zh-CN"/>
        </w:rPr>
        <w:t>及</w:t>
      </w:r>
      <w:r>
        <w:rPr>
          <w:rFonts w:hint="eastAsia" w:ascii="黑体" w:eastAsia="黑体"/>
          <w:b/>
          <w:bCs/>
          <w:sz w:val="44"/>
          <w:szCs w:val="44"/>
          <w:lang w:val="en-US" w:eastAsia="zh-CN"/>
        </w:rPr>
        <w:t>附件</w:t>
      </w:r>
    </w:p>
    <w:p w14:paraId="0461AE59">
      <w:pPr>
        <w:pStyle w:val="112"/>
        <w:ind w:left="0" w:leftChars="0" w:firstLine="0" w:firstLineChars="0"/>
        <w:rPr>
          <w:rFonts w:hint="eastAsia" w:cs="宋体"/>
        </w:rPr>
      </w:pPr>
    </w:p>
    <w:p w14:paraId="7D0CDAAC">
      <w:pPr>
        <w:pStyle w:val="112"/>
        <w:ind w:left="0" w:leftChars="0" w:firstLine="0" w:firstLineChars="0"/>
        <w:rPr>
          <w:rFonts w:hint="eastAsia" w:cs="宋体"/>
        </w:rPr>
      </w:pPr>
    </w:p>
    <w:p w14:paraId="2AA9D17A">
      <w:pPr>
        <w:pStyle w:val="112"/>
        <w:ind w:firstLine="482" w:firstLineChars="200"/>
      </w:pPr>
      <w:r>
        <w:rPr>
          <w:rFonts w:hint="eastAsia"/>
        </w:rPr>
        <w:t>格式</w:t>
      </w:r>
      <w:r>
        <w:rPr>
          <w:rFonts w:hint="eastAsia"/>
          <w:lang w:val="en-US" w:eastAsia="zh-CN"/>
        </w:rPr>
        <w:t>1</w:t>
      </w:r>
      <w:r>
        <w:t xml:space="preserve"> </w:t>
      </w:r>
      <w:r>
        <w:rPr>
          <w:rFonts w:hint="eastAsia"/>
          <w:lang w:val="en-US" w:eastAsia="zh-CN"/>
        </w:rPr>
        <w:t xml:space="preserve"> </w:t>
      </w:r>
      <w:r>
        <w:rPr>
          <w:rFonts w:hint="eastAsia"/>
        </w:rPr>
        <w:t>近三年国内同类项目业绩一览表</w:t>
      </w:r>
    </w:p>
    <w:p w14:paraId="4A8DC151">
      <w:pPr>
        <w:pStyle w:val="111"/>
        <w:ind w:firstLine="480" w:firstLineChars="200"/>
        <w:rPr>
          <w:rFonts w:hint="eastAsia"/>
        </w:rPr>
      </w:pPr>
      <w:r>
        <w:rPr>
          <w:rFonts w:hint="eastAsia"/>
        </w:rPr>
        <w:t xml:space="preserve">                                                        </w:t>
      </w:r>
    </w:p>
    <w:tbl>
      <w:tblPr>
        <w:tblStyle w:val="31"/>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08"/>
        <w:gridCol w:w="2061"/>
        <w:gridCol w:w="1317"/>
        <w:gridCol w:w="775"/>
        <w:gridCol w:w="1281"/>
        <w:gridCol w:w="1481"/>
        <w:gridCol w:w="1559"/>
      </w:tblGrid>
      <w:tr w14:paraId="224BFA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808" w:type="dxa"/>
            <w:noWrap w:val="0"/>
            <w:vAlign w:val="center"/>
          </w:tcPr>
          <w:p w14:paraId="3106870A">
            <w:pPr>
              <w:pStyle w:val="22"/>
              <w:jc w:val="center"/>
              <w:rPr>
                <w:rFonts w:hint="eastAsia" w:ascii="宋体" w:hAnsi="宋体"/>
                <w:b/>
                <w:szCs w:val="21"/>
              </w:rPr>
            </w:pPr>
            <w:r>
              <w:rPr>
                <w:rFonts w:hint="eastAsia" w:ascii="宋体" w:hAnsi="宋体"/>
                <w:b/>
                <w:szCs w:val="21"/>
              </w:rPr>
              <w:t>序号</w:t>
            </w:r>
          </w:p>
        </w:tc>
        <w:tc>
          <w:tcPr>
            <w:tcW w:w="2061" w:type="dxa"/>
            <w:noWrap w:val="0"/>
            <w:vAlign w:val="center"/>
          </w:tcPr>
          <w:p w14:paraId="5EA6D090">
            <w:pPr>
              <w:pStyle w:val="22"/>
              <w:jc w:val="center"/>
              <w:rPr>
                <w:rFonts w:hint="eastAsia" w:ascii="宋体" w:hAnsi="宋体"/>
                <w:b/>
                <w:szCs w:val="21"/>
              </w:rPr>
            </w:pPr>
            <w:r>
              <w:rPr>
                <w:rFonts w:hint="eastAsia" w:ascii="宋体" w:hAnsi="宋体"/>
                <w:b/>
                <w:szCs w:val="21"/>
              </w:rPr>
              <w:t>采购单位</w:t>
            </w:r>
          </w:p>
        </w:tc>
        <w:tc>
          <w:tcPr>
            <w:tcW w:w="1317" w:type="dxa"/>
            <w:noWrap w:val="0"/>
            <w:vAlign w:val="center"/>
          </w:tcPr>
          <w:p w14:paraId="01E04B00">
            <w:pPr>
              <w:pStyle w:val="22"/>
              <w:jc w:val="both"/>
              <w:rPr>
                <w:rFonts w:hint="eastAsia" w:ascii="宋体" w:hAnsi="宋体"/>
                <w:b/>
                <w:szCs w:val="21"/>
              </w:rPr>
            </w:pPr>
            <w:r>
              <w:rPr>
                <w:rFonts w:hint="eastAsia" w:ascii="宋体" w:hAnsi="宋体"/>
                <w:b/>
                <w:szCs w:val="21"/>
              </w:rPr>
              <w:t>项目名称</w:t>
            </w:r>
          </w:p>
        </w:tc>
        <w:tc>
          <w:tcPr>
            <w:tcW w:w="775" w:type="dxa"/>
            <w:noWrap w:val="0"/>
            <w:vAlign w:val="center"/>
          </w:tcPr>
          <w:p w14:paraId="69B9890D">
            <w:pPr>
              <w:pStyle w:val="22"/>
              <w:ind w:left="0" w:firstLine="0"/>
              <w:jc w:val="center"/>
              <w:rPr>
                <w:rFonts w:hint="eastAsia" w:ascii="宋体" w:hAnsi="宋体"/>
                <w:b/>
                <w:szCs w:val="21"/>
              </w:rPr>
            </w:pPr>
            <w:r>
              <w:rPr>
                <w:rFonts w:hint="eastAsia" w:ascii="宋体" w:hAnsi="宋体"/>
                <w:b/>
                <w:szCs w:val="21"/>
              </w:rPr>
              <w:t>数量</w:t>
            </w:r>
          </w:p>
        </w:tc>
        <w:tc>
          <w:tcPr>
            <w:tcW w:w="1281" w:type="dxa"/>
            <w:noWrap w:val="0"/>
            <w:vAlign w:val="center"/>
          </w:tcPr>
          <w:p w14:paraId="32A87DDE">
            <w:pPr>
              <w:pStyle w:val="22"/>
              <w:ind w:left="0" w:firstLine="0"/>
              <w:jc w:val="center"/>
              <w:rPr>
                <w:rFonts w:hint="eastAsia" w:ascii="宋体" w:hAnsi="宋体"/>
                <w:b/>
                <w:szCs w:val="21"/>
              </w:rPr>
            </w:pPr>
            <w:r>
              <w:rPr>
                <w:rFonts w:hint="eastAsia" w:ascii="宋体" w:hAnsi="宋体"/>
                <w:b/>
                <w:szCs w:val="21"/>
              </w:rPr>
              <w:t>合同金额</w:t>
            </w:r>
            <w:r>
              <w:rPr>
                <w:rFonts w:hint="eastAsia" w:ascii="宋体" w:hAnsi="宋体" w:eastAsia="宋体"/>
                <w:b/>
                <w:szCs w:val="21"/>
              </w:rPr>
              <w:t xml:space="preserve"> </w:t>
            </w:r>
            <w:r>
              <w:rPr>
                <w:rFonts w:hint="eastAsia" w:ascii="宋体" w:hAnsi="宋体"/>
                <w:b/>
                <w:szCs w:val="21"/>
              </w:rPr>
              <w:t>（万元）</w:t>
            </w:r>
          </w:p>
        </w:tc>
        <w:tc>
          <w:tcPr>
            <w:tcW w:w="1481" w:type="dxa"/>
            <w:noWrap w:val="0"/>
            <w:vAlign w:val="center"/>
          </w:tcPr>
          <w:p w14:paraId="3EEDF636">
            <w:pPr>
              <w:pStyle w:val="22"/>
              <w:ind w:left="0" w:firstLine="0"/>
              <w:jc w:val="center"/>
              <w:rPr>
                <w:rFonts w:hint="eastAsia" w:ascii="宋体" w:hAnsi="宋体"/>
                <w:b/>
                <w:szCs w:val="21"/>
              </w:rPr>
            </w:pPr>
            <w:r>
              <w:rPr>
                <w:rFonts w:hint="eastAsia" w:ascii="宋体" w:hAnsi="宋体"/>
                <w:b/>
                <w:szCs w:val="21"/>
              </w:rPr>
              <w:t>合同签订时间</w:t>
            </w:r>
          </w:p>
        </w:tc>
        <w:tc>
          <w:tcPr>
            <w:tcW w:w="1559" w:type="dxa"/>
            <w:noWrap w:val="0"/>
            <w:vAlign w:val="center"/>
          </w:tcPr>
          <w:p w14:paraId="75DADA9A">
            <w:pPr>
              <w:pStyle w:val="22"/>
              <w:jc w:val="both"/>
              <w:rPr>
                <w:rFonts w:hint="eastAsia" w:ascii="宋体" w:hAnsi="宋体"/>
                <w:b/>
                <w:szCs w:val="21"/>
              </w:rPr>
            </w:pPr>
            <w:r>
              <w:rPr>
                <w:rFonts w:hint="eastAsia" w:ascii="宋体" w:hAnsi="宋体"/>
                <w:b/>
                <w:szCs w:val="21"/>
              </w:rPr>
              <w:t>联系人及联系电话</w:t>
            </w:r>
          </w:p>
        </w:tc>
      </w:tr>
      <w:tr w14:paraId="5EBABA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808" w:type="dxa"/>
            <w:noWrap w:val="0"/>
            <w:vAlign w:val="center"/>
          </w:tcPr>
          <w:p w14:paraId="43D4B96D">
            <w:pPr>
              <w:pStyle w:val="22"/>
              <w:jc w:val="center"/>
              <w:rPr>
                <w:rFonts w:hint="eastAsia" w:ascii="宋体" w:hAnsi="宋体" w:eastAsia="宋体"/>
                <w:b/>
              </w:rPr>
            </w:pPr>
            <w:r>
              <w:rPr>
                <w:rFonts w:hint="eastAsia" w:ascii="宋体" w:hAnsi="宋体" w:eastAsia="宋体"/>
                <w:b/>
              </w:rPr>
              <w:t>1</w:t>
            </w:r>
          </w:p>
        </w:tc>
        <w:tc>
          <w:tcPr>
            <w:tcW w:w="2061" w:type="dxa"/>
            <w:noWrap w:val="0"/>
            <w:vAlign w:val="center"/>
          </w:tcPr>
          <w:p w14:paraId="3AF88A60">
            <w:pPr>
              <w:pStyle w:val="22"/>
              <w:jc w:val="center"/>
              <w:rPr>
                <w:rFonts w:hint="eastAsia" w:ascii="宋体" w:hAnsi="宋体"/>
                <w:b/>
              </w:rPr>
            </w:pPr>
          </w:p>
        </w:tc>
        <w:tc>
          <w:tcPr>
            <w:tcW w:w="1317" w:type="dxa"/>
            <w:noWrap w:val="0"/>
            <w:vAlign w:val="center"/>
          </w:tcPr>
          <w:p w14:paraId="374BE2D9">
            <w:pPr>
              <w:pStyle w:val="22"/>
              <w:jc w:val="center"/>
              <w:rPr>
                <w:rFonts w:hint="eastAsia" w:ascii="宋体" w:hAnsi="宋体"/>
                <w:b/>
              </w:rPr>
            </w:pPr>
          </w:p>
        </w:tc>
        <w:tc>
          <w:tcPr>
            <w:tcW w:w="775" w:type="dxa"/>
            <w:noWrap w:val="0"/>
            <w:vAlign w:val="center"/>
          </w:tcPr>
          <w:p w14:paraId="3490DCE2">
            <w:pPr>
              <w:pStyle w:val="22"/>
              <w:jc w:val="center"/>
              <w:rPr>
                <w:rFonts w:hint="eastAsia" w:ascii="宋体" w:hAnsi="宋体"/>
                <w:b/>
              </w:rPr>
            </w:pPr>
          </w:p>
        </w:tc>
        <w:tc>
          <w:tcPr>
            <w:tcW w:w="1281" w:type="dxa"/>
            <w:noWrap w:val="0"/>
            <w:vAlign w:val="center"/>
          </w:tcPr>
          <w:p w14:paraId="3166866A">
            <w:pPr>
              <w:pStyle w:val="22"/>
              <w:jc w:val="center"/>
              <w:rPr>
                <w:rFonts w:hint="default" w:ascii="宋体" w:hAnsi="宋体" w:eastAsia="宋体"/>
                <w:b/>
                <w:lang w:val="en-US" w:eastAsia="zh-CN"/>
              </w:rPr>
            </w:pPr>
            <w:r>
              <w:rPr>
                <w:rFonts w:hint="eastAsia" w:ascii="宋体" w:hAnsi="宋体"/>
                <w:b/>
                <w:lang w:val="en-US" w:eastAsia="zh-CN"/>
              </w:rPr>
              <w:t>必填项</w:t>
            </w:r>
          </w:p>
        </w:tc>
        <w:tc>
          <w:tcPr>
            <w:tcW w:w="1481" w:type="dxa"/>
            <w:noWrap w:val="0"/>
            <w:vAlign w:val="center"/>
          </w:tcPr>
          <w:p w14:paraId="7CE2F48D">
            <w:pPr>
              <w:pStyle w:val="22"/>
              <w:jc w:val="center"/>
              <w:rPr>
                <w:rFonts w:hint="eastAsia" w:ascii="宋体" w:hAnsi="宋体"/>
                <w:b/>
              </w:rPr>
            </w:pPr>
          </w:p>
        </w:tc>
        <w:tc>
          <w:tcPr>
            <w:tcW w:w="1559" w:type="dxa"/>
            <w:noWrap w:val="0"/>
            <w:vAlign w:val="center"/>
          </w:tcPr>
          <w:p w14:paraId="5C1B8728">
            <w:pPr>
              <w:pStyle w:val="22"/>
              <w:jc w:val="center"/>
              <w:rPr>
                <w:rFonts w:hint="eastAsia" w:ascii="宋体" w:hAnsi="宋体"/>
                <w:b/>
              </w:rPr>
            </w:pPr>
          </w:p>
        </w:tc>
      </w:tr>
      <w:tr w14:paraId="48A4FE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808" w:type="dxa"/>
            <w:noWrap w:val="0"/>
            <w:vAlign w:val="center"/>
          </w:tcPr>
          <w:p w14:paraId="1911294A">
            <w:pPr>
              <w:pStyle w:val="22"/>
              <w:jc w:val="center"/>
              <w:rPr>
                <w:rFonts w:hint="eastAsia" w:ascii="宋体" w:hAnsi="宋体" w:eastAsia="宋体"/>
                <w:b/>
              </w:rPr>
            </w:pPr>
            <w:r>
              <w:rPr>
                <w:rFonts w:hint="eastAsia" w:ascii="宋体" w:hAnsi="宋体" w:eastAsia="宋体"/>
                <w:b/>
              </w:rPr>
              <w:t>2</w:t>
            </w:r>
          </w:p>
        </w:tc>
        <w:tc>
          <w:tcPr>
            <w:tcW w:w="2061" w:type="dxa"/>
            <w:noWrap w:val="0"/>
            <w:vAlign w:val="center"/>
          </w:tcPr>
          <w:p w14:paraId="1EBE3A43">
            <w:pPr>
              <w:pStyle w:val="22"/>
              <w:jc w:val="center"/>
              <w:rPr>
                <w:rFonts w:hint="eastAsia" w:ascii="宋体" w:hAnsi="宋体"/>
                <w:b/>
              </w:rPr>
            </w:pPr>
          </w:p>
        </w:tc>
        <w:tc>
          <w:tcPr>
            <w:tcW w:w="1317" w:type="dxa"/>
            <w:noWrap w:val="0"/>
            <w:vAlign w:val="center"/>
          </w:tcPr>
          <w:p w14:paraId="42AD5CFB">
            <w:pPr>
              <w:pStyle w:val="22"/>
              <w:jc w:val="center"/>
              <w:rPr>
                <w:rFonts w:hint="eastAsia" w:ascii="宋体" w:hAnsi="宋体"/>
                <w:b/>
              </w:rPr>
            </w:pPr>
          </w:p>
        </w:tc>
        <w:tc>
          <w:tcPr>
            <w:tcW w:w="775" w:type="dxa"/>
            <w:noWrap w:val="0"/>
            <w:vAlign w:val="center"/>
          </w:tcPr>
          <w:p w14:paraId="5EB493EC">
            <w:pPr>
              <w:pStyle w:val="22"/>
              <w:jc w:val="center"/>
              <w:rPr>
                <w:rFonts w:hint="eastAsia" w:ascii="宋体" w:hAnsi="宋体"/>
                <w:b/>
              </w:rPr>
            </w:pPr>
          </w:p>
        </w:tc>
        <w:tc>
          <w:tcPr>
            <w:tcW w:w="1281" w:type="dxa"/>
            <w:noWrap w:val="0"/>
            <w:vAlign w:val="center"/>
          </w:tcPr>
          <w:p w14:paraId="027C377F">
            <w:pPr>
              <w:pStyle w:val="22"/>
              <w:jc w:val="center"/>
              <w:rPr>
                <w:rFonts w:hint="eastAsia" w:ascii="宋体" w:hAnsi="宋体"/>
                <w:b/>
              </w:rPr>
            </w:pPr>
            <w:r>
              <w:rPr>
                <w:rFonts w:hint="eastAsia" w:ascii="宋体" w:hAnsi="宋体"/>
                <w:b/>
                <w:lang w:val="en-US" w:eastAsia="zh-CN"/>
              </w:rPr>
              <w:t>必填项</w:t>
            </w:r>
          </w:p>
        </w:tc>
        <w:tc>
          <w:tcPr>
            <w:tcW w:w="1481" w:type="dxa"/>
            <w:noWrap w:val="0"/>
            <w:vAlign w:val="center"/>
          </w:tcPr>
          <w:p w14:paraId="444D8A13">
            <w:pPr>
              <w:pStyle w:val="22"/>
              <w:jc w:val="center"/>
              <w:rPr>
                <w:rFonts w:hint="eastAsia" w:ascii="宋体" w:hAnsi="宋体"/>
                <w:b/>
              </w:rPr>
            </w:pPr>
          </w:p>
        </w:tc>
        <w:tc>
          <w:tcPr>
            <w:tcW w:w="1559" w:type="dxa"/>
            <w:noWrap w:val="0"/>
            <w:vAlign w:val="center"/>
          </w:tcPr>
          <w:p w14:paraId="1FC826FD">
            <w:pPr>
              <w:pStyle w:val="22"/>
              <w:jc w:val="center"/>
              <w:rPr>
                <w:rFonts w:hint="eastAsia" w:ascii="宋体" w:hAnsi="宋体"/>
                <w:b/>
              </w:rPr>
            </w:pPr>
          </w:p>
        </w:tc>
      </w:tr>
      <w:tr w14:paraId="3258BB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808" w:type="dxa"/>
            <w:noWrap w:val="0"/>
            <w:vAlign w:val="center"/>
          </w:tcPr>
          <w:p w14:paraId="6B906E21">
            <w:pPr>
              <w:pStyle w:val="22"/>
              <w:jc w:val="center"/>
              <w:rPr>
                <w:rFonts w:hint="eastAsia" w:ascii="宋体" w:hAnsi="宋体" w:eastAsia="宋体"/>
                <w:b/>
              </w:rPr>
            </w:pPr>
            <w:r>
              <w:rPr>
                <w:rFonts w:hint="eastAsia" w:ascii="宋体" w:hAnsi="宋体" w:eastAsia="宋体"/>
                <w:b/>
              </w:rPr>
              <w:t>3</w:t>
            </w:r>
          </w:p>
        </w:tc>
        <w:tc>
          <w:tcPr>
            <w:tcW w:w="2061" w:type="dxa"/>
            <w:noWrap w:val="0"/>
            <w:vAlign w:val="center"/>
          </w:tcPr>
          <w:p w14:paraId="5555D90B">
            <w:pPr>
              <w:pStyle w:val="22"/>
              <w:jc w:val="center"/>
              <w:rPr>
                <w:rFonts w:hint="eastAsia" w:ascii="宋体" w:hAnsi="宋体"/>
                <w:b/>
              </w:rPr>
            </w:pPr>
          </w:p>
        </w:tc>
        <w:tc>
          <w:tcPr>
            <w:tcW w:w="1317" w:type="dxa"/>
            <w:noWrap w:val="0"/>
            <w:vAlign w:val="center"/>
          </w:tcPr>
          <w:p w14:paraId="7CDCFC3A">
            <w:pPr>
              <w:pStyle w:val="22"/>
              <w:jc w:val="center"/>
              <w:rPr>
                <w:rFonts w:hint="eastAsia" w:ascii="宋体" w:hAnsi="宋体"/>
                <w:b/>
              </w:rPr>
            </w:pPr>
          </w:p>
        </w:tc>
        <w:tc>
          <w:tcPr>
            <w:tcW w:w="775" w:type="dxa"/>
            <w:noWrap w:val="0"/>
            <w:vAlign w:val="center"/>
          </w:tcPr>
          <w:p w14:paraId="7539B0F5">
            <w:pPr>
              <w:pStyle w:val="22"/>
              <w:jc w:val="center"/>
              <w:rPr>
                <w:rFonts w:hint="eastAsia" w:ascii="宋体" w:hAnsi="宋体"/>
                <w:b/>
              </w:rPr>
            </w:pPr>
          </w:p>
        </w:tc>
        <w:tc>
          <w:tcPr>
            <w:tcW w:w="1281" w:type="dxa"/>
            <w:noWrap w:val="0"/>
            <w:vAlign w:val="center"/>
          </w:tcPr>
          <w:p w14:paraId="7789C705">
            <w:pPr>
              <w:pStyle w:val="22"/>
              <w:jc w:val="center"/>
              <w:rPr>
                <w:rFonts w:hint="eastAsia" w:ascii="宋体" w:hAnsi="宋体"/>
                <w:b/>
              </w:rPr>
            </w:pPr>
            <w:r>
              <w:rPr>
                <w:rFonts w:hint="eastAsia" w:ascii="宋体" w:hAnsi="宋体"/>
                <w:b/>
                <w:lang w:val="en-US" w:eastAsia="zh-CN"/>
              </w:rPr>
              <w:t>必填项</w:t>
            </w:r>
          </w:p>
        </w:tc>
        <w:tc>
          <w:tcPr>
            <w:tcW w:w="1481" w:type="dxa"/>
            <w:noWrap w:val="0"/>
            <w:vAlign w:val="center"/>
          </w:tcPr>
          <w:p w14:paraId="7885067A">
            <w:pPr>
              <w:pStyle w:val="22"/>
              <w:jc w:val="center"/>
              <w:rPr>
                <w:rFonts w:hint="eastAsia" w:ascii="宋体" w:hAnsi="宋体"/>
                <w:b/>
              </w:rPr>
            </w:pPr>
          </w:p>
        </w:tc>
        <w:tc>
          <w:tcPr>
            <w:tcW w:w="1559" w:type="dxa"/>
            <w:noWrap w:val="0"/>
            <w:vAlign w:val="center"/>
          </w:tcPr>
          <w:p w14:paraId="13853116">
            <w:pPr>
              <w:pStyle w:val="22"/>
              <w:jc w:val="center"/>
              <w:rPr>
                <w:rFonts w:hint="eastAsia" w:ascii="宋体" w:hAnsi="宋体"/>
                <w:b/>
              </w:rPr>
            </w:pPr>
          </w:p>
        </w:tc>
      </w:tr>
      <w:tr w14:paraId="4A3330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808" w:type="dxa"/>
            <w:noWrap w:val="0"/>
            <w:vAlign w:val="center"/>
          </w:tcPr>
          <w:p w14:paraId="30CD9D41">
            <w:pPr>
              <w:pStyle w:val="22"/>
              <w:jc w:val="center"/>
              <w:rPr>
                <w:rFonts w:hint="eastAsia" w:ascii="宋体" w:hAnsi="宋体" w:eastAsia="宋体"/>
                <w:b/>
              </w:rPr>
            </w:pPr>
            <w:r>
              <w:rPr>
                <w:rFonts w:hint="eastAsia" w:ascii="宋体" w:hAnsi="宋体" w:eastAsia="宋体"/>
                <w:b/>
              </w:rPr>
              <w:t>4</w:t>
            </w:r>
          </w:p>
        </w:tc>
        <w:tc>
          <w:tcPr>
            <w:tcW w:w="2061" w:type="dxa"/>
            <w:noWrap w:val="0"/>
            <w:vAlign w:val="center"/>
          </w:tcPr>
          <w:p w14:paraId="7B644D21">
            <w:pPr>
              <w:pStyle w:val="22"/>
              <w:jc w:val="center"/>
              <w:rPr>
                <w:rFonts w:hint="eastAsia" w:ascii="宋体" w:hAnsi="宋体"/>
                <w:b/>
              </w:rPr>
            </w:pPr>
          </w:p>
        </w:tc>
        <w:tc>
          <w:tcPr>
            <w:tcW w:w="1317" w:type="dxa"/>
            <w:noWrap w:val="0"/>
            <w:vAlign w:val="center"/>
          </w:tcPr>
          <w:p w14:paraId="2A863A6D">
            <w:pPr>
              <w:pStyle w:val="22"/>
              <w:jc w:val="center"/>
              <w:rPr>
                <w:rFonts w:hint="eastAsia" w:ascii="宋体" w:hAnsi="宋体"/>
                <w:b/>
              </w:rPr>
            </w:pPr>
          </w:p>
        </w:tc>
        <w:tc>
          <w:tcPr>
            <w:tcW w:w="775" w:type="dxa"/>
            <w:noWrap w:val="0"/>
            <w:vAlign w:val="center"/>
          </w:tcPr>
          <w:p w14:paraId="23399F15">
            <w:pPr>
              <w:pStyle w:val="22"/>
              <w:jc w:val="center"/>
              <w:rPr>
                <w:rFonts w:hint="eastAsia" w:ascii="宋体" w:hAnsi="宋体"/>
                <w:b/>
              </w:rPr>
            </w:pPr>
          </w:p>
        </w:tc>
        <w:tc>
          <w:tcPr>
            <w:tcW w:w="1281" w:type="dxa"/>
            <w:noWrap w:val="0"/>
            <w:vAlign w:val="center"/>
          </w:tcPr>
          <w:p w14:paraId="023CC33C">
            <w:pPr>
              <w:pStyle w:val="22"/>
              <w:jc w:val="center"/>
              <w:rPr>
                <w:rFonts w:hint="eastAsia" w:ascii="宋体" w:hAnsi="宋体"/>
                <w:b/>
              </w:rPr>
            </w:pPr>
            <w:r>
              <w:rPr>
                <w:rFonts w:hint="eastAsia" w:ascii="宋体" w:hAnsi="宋体"/>
                <w:b/>
                <w:lang w:val="en-US" w:eastAsia="zh-CN"/>
              </w:rPr>
              <w:t>必填项</w:t>
            </w:r>
          </w:p>
        </w:tc>
        <w:tc>
          <w:tcPr>
            <w:tcW w:w="1481" w:type="dxa"/>
            <w:noWrap w:val="0"/>
            <w:vAlign w:val="center"/>
          </w:tcPr>
          <w:p w14:paraId="0D125378">
            <w:pPr>
              <w:pStyle w:val="22"/>
              <w:jc w:val="center"/>
              <w:rPr>
                <w:rFonts w:hint="eastAsia" w:ascii="宋体" w:hAnsi="宋体"/>
                <w:b/>
              </w:rPr>
            </w:pPr>
          </w:p>
        </w:tc>
        <w:tc>
          <w:tcPr>
            <w:tcW w:w="1559" w:type="dxa"/>
            <w:noWrap w:val="0"/>
            <w:vAlign w:val="center"/>
          </w:tcPr>
          <w:p w14:paraId="66E30759">
            <w:pPr>
              <w:pStyle w:val="22"/>
              <w:jc w:val="center"/>
              <w:rPr>
                <w:rFonts w:hint="eastAsia" w:ascii="宋体" w:hAnsi="宋体"/>
                <w:b/>
              </w:rPr>
            </w:pPr>
          </w:p>
        </w:tc>
      </w:tr>
      <w:tr w14:paraId="7F654C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808" w:type="dxa"/>
            <w:noWrap w:val="0"/>
            <w:vAlign w:val="center"/>
          </w:tcPr>
          <w:p w14:paraId="02DF9512">
            <w:pPr>
              <w:pStyle w:val="22"/>
              <w:jc w:val="center"/>
              <w:rPr>
                <w:rFonts w:hint="eastAsia" w:ascii="宋体" w:hAnsi="宋体" w:eastAsia="宋体"/>
                <w:b/>
              </w:rPr>
            </w:pPr>
            <w:r>
              <w:rPr>
                <w:rFonts w:hint="eastAsia" w:ascii="宋体" w:hAnsi="宋体" w:eastAsia="宋体"/>
                <w:b/>
              </w:rPr>
              <w:t>5</w:t>
            </w:r>
          </w:p>
        </w:tc>
        <w:tc>
          <w:tcPr>
            <w:tcW w:w="2061" w:type="dxa"/>
            <w:noWrap w:val="0"/>
            <w:vAlign w:val="center"/>
          </w:tcPr>
          <w:p w14:paraId="557F5CFC">
            <w:pPr>
              <w:pStyle w:val="22"/>
              <w:jc w:val="center"/>
              <w:rPr>
                <w:rFonts w:hint="eastAsia" w:ascii="宋体" w:hAnsi="宋体"/>
                <w:b/>
              </w:rPr>
            </w:pPr>
          </w:p>
        </w:tc>
        <w:tc>
          <w:tcPr>
            <w:tcW w:w="1317" w:type="dxa"/>
            <w:noWrap w:val="0"/>
            <w:vAlign w:val="center"/>
          </w:tcPr>
          <w:p w14:paraId="6873597D">
            <w:pPr>
              <w:pStyle w:val="22"/>
              <w:jc w:val="center"/>
              <w:rPr>
                <w:rFonts w:hint="eastAsia" w:ascii="宋体" w:hAnsi="宋体"/>
                <w:b/>
              </w:rPr>
            </w:pPr>
          </w:p>
        </w:tc>
        <w:tc>
          <w:tcPr>
            <w:tcW w:w="775" w:type="dxa"/>
            <w:noWrap w:val="0"/>
            <w:vAlign w:val="center"/>
          </w:tcPr>
          <w:p w14:paraId="39D3E034">
            <w:pPr>
              <w:pStyle w:val="22"/>
              <w:jc w:val="center"/>
              <w:rPr>
                <w:rFonts w:hint="eastAsia" w:ascii="宋体" w:hAnsi="宋体"/>
                <w:b/>
              </w:rPr>
            </w:pPr>
          </w:p>
        </w:tc>
        <w:tc>
          <w:tcPr>
            <w:tcW w:w="1281" w:type="dxa"/>
            <w:noWrap w:val="0"/>
            <w:vAlign w:val="center"/>
          </w:tcPr>
          <w:p w14:paraId="251B3ECA">
            <w:pPr>
              <w:pStyle w:val="22"/>
              <w:jc w:val="center"/>
              <w:rPr>
                <w:rFonts w:hint="eastAsia" w:ascii="宋体" w:hAnsi="宋体"/>
                <w:b/>
              </w:rPr>
            </w:pPr>
            <w:r>
              <w:rPr>
                <w:rFonts w:hint="eastAsia" w:ascii="宋体" w:hAnsi="宋体"/>
                <w:b/>
                <w:lang w:val="en-US" w:eastAsia="zh-CN"/>
              </w:rPr>
              <w:t>必填项</w:t>
            </w:r>
          </w:p>
        </w:tc>
        <w:tc>
          <w:tcPr>
            <w:tcW w:w="1481" w:type="dxa"/>
            <w:noWrap w:val="0"/>
            <w:vAlign w:val="center"/>
          </w:tcPr>
          <w:p w14:paraId="12D80696">
            <w:pPr>
              <w:pStyle w:val="22"/>
              <w:jc w:val="center"/>
              <w:rPr>
                <w:rFonts w:hint="eastAsia" w:ascii="宋体" w:hAnsi="宋体"/>
                <w:b/>
              </w:rPr>
            </w:pPr>
          </w:p>
        </w:tc>
        <w:tc>
          <w:tcPr>
            <w:tcW w:w="1559" w:type="dxa"/>
            <w:noWrap w:val="0"/>
            <w:vAlign w:val="center"/>
          </w:tcPr>
          <w:p w14:paraId="3016A569">
            <w:pPr>
              <w:pStyle w:val="22"/>
              <w:jc w:val="center"/>
              <w:rPr>
                <w:rFonts w:hint="eastAsia" w:ascii="宋体" w:hAnsi="宋体"/>
                <w:b/>
              </w:rPr>
            </w:pPr>
          </w:p>
        </w:tc>
      </w:tr>
      <w:tr w14:paraId="24FDC5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808" w:type="dxa"/>
            <w:noWrap w:val="0"/>
            <w:vAlign w:val="top"/>
          </w:tcPr>
          <w:p w14:paraId="7FEEAF0D">
            <w:pPr>
              <w:pStyle w:val="22"/>
              <w:rPr>
                <w:rFonts w:hint="default" w:ascii="宋体" w:hAnsi="宋体" w:eastAsia="宋体"/>
                <w:b/>
                <w:lang w:val="en-US" w:eastAsia="zh-CN"/>
              </w:rPr>
            </w:pPr>
          </w:p>
        </w:tc>
        <w:tc>
          <w:tcPr>
            <w:tcW w:w="2061" w:type="dxa"/>
            <w:noWrap w:val="0"/>
            <w:vAlign w:val="top"/>
          </w:tcPr>
          <w:p w14:paraId="288D966D">
            <w:pPr>
              <w:pStyle w:val="22"/>
              <w:rPr>
                <w:rFonts w:hint="eastAsia" w:ascii="宋体" w:hAnsi="宋体"/>
                <w:b/>
              </w:rPr>
            </w:pPr>
          </w:p>
        </w:tc>
        <w:tc>
          <w:tcPr>
            <w:tcW w:w="1317" w:type="dxa"/>
            <w:noWrap w:val="0"/>
            <w:vAlign w:val="top"/>
          </w:tcPr>
          <w:p w14:paraId="40565377">
            <w:pPr>
              <w:pStyle w:val="22"/>
              <w:rPr>
                <w:rFonts w:hint="eastAsia" w:ascii="宋体" w:hAnsi="宋体"/>
                <w:b/>
              </w:rPr>
            </w:pPr>
          </w:p>
        </w:tc>
        <w:tc>
          <w:tcPr>
            <w:tcW w:w="775" w:type="dxa"/>
            <w:noWrap w:val="0"/>
            <w:vAlign w:val="top"/>
          </w:tcPr>
          <w:p w14:paraId="13FC9906">
            <w:pPr>
              <w:pStyle w:val="22"/>
              <w:rPr>
                <w:rFonts w:hint="eastAsia" w:ascii="宋体" w:hAnsi="宋体"/>
                <w:b/>
              </w:rPr>
            </w:pPr>
          </w:p>
        </w:tc>
        <w:tc>
          <w:tcPr>
            <w:tcW w:w="1281" w:type="dxa"/>
            <w:noWrap w:val="0"/>
            <w:vAlign w:val="top"/>
          </w:tcPr>
          <w:p w14:paraId="387472C4">
            <w:pPr>
              <w:pStyle w:val="22"/>
              <w:rPr>
                <w:rFonts w:hint="eastAsia" w:ascii="宋体" w:hAnsi="宋体"/>
                <w:b/>
              </w:rPr>
            </w:pPr>
          </w:p>
        </w:tc>
        <w:tc>
          <w:tcPr>
            <w:tcW w:w="1481" w:type="dxa"/>
            <w:noWrap w:val="0"/>
            <w:vAlign w:val="top"/>
          </w:tcPr>
          <w:p w14:paraId="2F5B02C9">
            <w:pPr>
              <w:pStyle w:val="22"/>
              <w:rPr>
                <w:rFonts w:hint="eastAsia" w:ascii="宋体" w:hAnsi="宋体"/>
                <w:b/>
              </w:rPr>
            </w:pPr>
          </w:p>
        </w:tc>
        <w:tc>
          <w:tcPr>
            <w:tcW w:w="1559" w:type="dxa"/>
            <w:noWrap w:val="0"/>
            <w:vAlign w:val="top"/>
          </w:tcPr>
          <w:p w14:paraId="693B2EF5">
            <w:pPr>
              <w:pStyle w:val="22"/>
              <w:rPr>
                <w:rFonts w:hint="eastAsia" w:ascii="宋体" w:hAnsi="宋体"/>
                <w:b/>
              </w:rPr>
            </w:pPr>
          </w:p>
        </w:tc>
      </w:tr>
      <w:tr w14:paraId="432C63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808" w:type="dxa"/>
            <w:noWrap w:val="0"/>
            <w:vAlign w:val="top"/>
          </w:tcPr>
          <w:p w14:paraId="0A6086E5">
            <w:pPr>
              <w:pStyle w:val="22"/>
              <w:rPr>
                <w:rFonts w:hint="eastAsia" w:ascii="宋体" w:hAnsi="宋体"/>
                <w:b/>
              </w:rPr>
            </w:pPr>
          </w:p>
        </w:tc>
        <w:tc>
          <w:tcPr>
            <w:tcW w:w="2061" w:type="dxa"/>
            <w:noWrap w:val="0"/>
            <w:vAlign w:val="top"/>
          </w:tcPr>
          <w:p w14:paraId="401ACD43">
            <w:pPr>
              <w:pStyle w:val="22"/>
              <w:rPr>
                <w:rFonts w:hint="eastAsia" w:ascii="宋体" w:hAnsi="宋体"/>
                <w:b/>
              </w:rPr>
            </w:pPr>
          </w:p>
        </w:tc>
        <w:tc>
          <w:tcPr>
            <w:tcW w:w="1317" w:type="dxa"/>
            <w:noWrap w:val="0"/>
            <w:vAlign w:val="top"/>
          </w:tcPr>
          <w:p w14:paraId="03713C15">
            <w:pPr>
              <w:pStyle w:val="22"/>
              <w:rPr>
                <w:rFonts w:hint="eastAsia" w:ascii="宋体" w:hAnsi="宋体"/>
                <w:b/>
              </w:rPr>
            </w:pPr>
          </w:p>
        </w:tc>
        <w:tc>
          <w:tcPr>
            <w:tcW w:w="775" w:type="dxa"/>
            <w:noWrap w:val="0"/>
            <w:vAlign w:val="top"/>
          </w:tcPr>
          <w:p w14:paraId="1E73152C">
            <w:pPr>
              <w:pStyle w:val="22"/>
              <w:rPr>
                <w:rFonts w:hint="eastAsia" w:ascii="宋体" w:hAnsi="宋体"/>
                <w:b/>
              </w:rPr>
            </w:pPr>
          </w:p>
        </w:tc>
        <w:tc>
          <w:tcPr>
            <w:tcW w:w="1281" w:type="dxa"/>
            <w:noWrap w:val="0"/>
            <w:vAlign w:val="top"/>
          </w:tcPr>
          <w:p w14:paraId="208A7180">
            <w:pPr>
              <w:pStyle w:val="22"/>
              <w:rPr>
                <w:rFonts w:hint="eastAsia" w:ascii="宋体" w:hAnsi="宋体"/>
                <w:b/>
              </w:rPr>
            </w:pPr>
          </w:p>
        </w:tc>
        <w:tc>
          <w:tcPr>
            <w:tcW w:w="1481" w:type="dxa"/>
            <w:noWrap w:val="0"/>
            <w:vAlign w:val="top"/>
          </w:tcPr>
          <w:p w14:paraId="7AE3768A">
            <w:pPr>
              <w:pStyle w:val="22"/>
              <w:rPr>
                <w:rFonts w:hint="eastAsia" w:ascii="宋体" w:hAnsi="宋体"/>
                <w:b/>
              </w:rPr>
            </w:pPr>
          </w:p>
        </w:tc>
        <w:tc>
          <w:tcPr>
            <w:tcW w:w="1559" w:type="dxa"/>
            <w:noWrap w:val="0"/>
            <w:vAlign w:val="top"/>
          </w:tcPr>
          <w:p w14:paraId="289DCEC8">
            <w:pPr>
              <w:pStyle w:val="22"/>
              <w:rPr>
                <w:rFonts w:hint="eastAsia" w:ascii="宋体" w:hAnsi="宋体"/>
                <w:b/>
              </w:rPr>
            </w:pPr>
          </w:p>
        </w:tc>
      </w:tr>
      <w:tr w14:paraId="4884D7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808" w:type="dxa"/>
            <w:noWrap w:val="0"/>
            <w:vAlign w:val="top"/>
          </w:tcPr>
          <w:p w14:paraId="5FFBA196">
            <w:pPr>
              <w:pStyle w:val="22"/>
              <w:rPr>
                <w:rFonts w:hint="eastAsia" w:ascii="宋体" w:hAnsi="宋体"/>
                <w:b/>
              </w:rPr>
            </w:pPr>
          </w:p>
        </w:tc>
        <w:tc>
          <w:tcPr>
            <w:tcW w:w="2061" w:type="dxa"/>
            <w:noWrap w:val="0"/>
            <w:vAlign w:val="top"/>
          </w:tcPr>
          <w:p w14:paraId="7A507F69">
            <w:pPr>
              <w:pStyle w:val="22"/>
              <w:rPr>
                <w:rFonts w:hint="eastAsia" w:ascii="宋体" w:hAnsi="宋体"/>
                <w:b/>
              </w:rPr>
            </w:pPr>
          </w:p>
        </w:tc>
        <w:tc>
          <w:tcPr>
            <w:tcW w:w="1317" w:type="dxa"/>
            <w:noWrap w:val="0"/>
            <w:vAlign w:val="top"/>
          </w:tcPr>
          <w:p w14:paraId="20A9B8EE">
            <w:pPr>
              <w:pStyle w:val="22"/>
              <w:rPr>
                <w:rFonts w:hint="eastAsia" w:ascii="宋体" w:hAnsi="宋体"/>
                <w:b/>
              </w:rPr>
            </w:pPr>
          </w:p>
        </w:tc>
        <w:tc>
          <w:tcPr>
            <w:tcW w:w="775" w:type="dxa"/>
            <w:noWrap w:val="0"/>
            <w:vAlign w:val="top"/>
          </w:tcPr>
          <w:p w14:paraId="558B75FD">
            <w:pPr>
              <w:pStyle w:val="22"/>
              <w:rPr>
                <w:rFonts w:hint="eastAsia" w:ascii="宋体" w:hAnsi="宋体"/>
                <w:b/>
              </w:rPr>
            </w:pPr>
          </w:p>
        </w:tc>
        <w:tc>
          <w:tcPr>
            <w:tcW w:w="1281" w:type="dxa"/>
            <w:noWrap w:val="0"/>
            <w:vAlign w:val="top"/>
          </w:tcPr>
          <w:p w14:paraId="15DCEB04">
            <w:pPr>
              <w:pStyle w:val="22"/>
              <w:rPr>
                <w:rFonts w:hint="eastAsia" w:ascii="宋体" w:hAnsi="宋体"/>
                <w:b/>
              </w:rPr>
            </w:pPr>
          </w:p>
        </w:tc>
        <w:tc>
          <w:tcPr>
            <w:tcW w:w="1481" w:type="dxa"/>
            <w:noWrap w:val="0"/>
            <w:vAlign w:val="top"/>
          </w:tcPr>
          <w:p w14:paraId="4EE777BB">
            <w:pPr>
              <w:pStyle w:val="22"/>
              <w:rPr>
                <w:rFonts w:hint="eastAsia" w:ascii="宋体" w:hAnsi="宋体"/>
                <w:b/>
              </w:rPr>
            </w:pPr>
          </w:p>
        </w:tc>
        <w:tc>
          <w:tcPr>
            <w:tcW w:w="1559" w:type="dxa"/>
            <w:noWrap w:val="0"/>
            <w:vAlign w:val="top"/>
          </w:tcPr>
          <w:p w14:paraId="52103E5B">
            <w:pPr>
              <w:pStyle w:val="22"/>
              <w:rPr>
                <w:rFonts w:hint="eastAsia" w:ascii="宋体" w:hAnsi="宋体"/>
                <w:b/>
              </w:rPr>
            </w:pPr>
          </w:p>
        </w:tc>
      </w:tr>
      <w:tr w14:paraId="366728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808" w:type="dxa"/>
            <w:noWrap w:val="0"/>
            <w:vAlign w:val="top"/>
          </w:tcPr>
          <w:p w14:paraId="1C6C616A">
            <w:pPr>
              <w:pStyle w:val="22"/>
              <w:rPr>
                <w:rFonts w:hint="eastAsia" w:ascii="宋体" w:hAnsi="宋体"/>
                <w:b/>
              </w:rPr>
            </w:pPr>
          </w:p>
        </w:tc>
        <w:tc>
          <w:tcPr>
            <w:tcW w:w="2061" w:type="dxa"/>
            <w:noWrap w:val="0"/>
            <w:vAlign w:val="top"/>
          </w:tcPr>
          <w:p w14:paraId="74357D37">
            <w:pPr>
              <w:pStyle w:val="22"/>
              <w:rPr>
                <w:rFonts w:hint="eastAsia" w:ascii="宋体" w:hAnsi="宋体"/>
                <w:b/>
              </w:rPr>
            </w:pPr>
          </w:p>
        </w:tc>
        <w:tc>
          <w:tcPr>
            <w:tcW w:w="1317" w:type="dxa"/>
            <w:noWrap w:val="0"/>
            <w:vAlign w:val="top"/>
          </w:tcPr>
          <w:p w14:paraId="59645C57">
            <w:pPr>
              <w:pStyle w:val="22"/>
              <w:rPr>
                <w:rFonts w:hint="eastAsia" w:ascii="宋体" w:hAnsi="宋体"/>
                <w:b/>
              </w:rPr>
            </w:pPr>
          </w:p>
        </w:tc>
        <w:tc>
          <w:tcPr>
            <w:tcW w:w="775" w:type="dxa"/>
            <w:noWrap w:val="0"/>
            <w:vAlign w:val="top"/>
          </w:tcPr>
          <w:p w14:paraId="64704CA1">
            <w:pPr>
              <w:pStyle w:val="22"/>
              <w:rPr>
                <w:rFonts w:hint="eastAsia" w:ascii="宋体" w:hAnsi="宋体"/>
                <w:b/>
              </w:rPr>
            </w:pPr>
          </w:p>
        </w:tc>
        <w:tc>
          <w:tcPr>
            <w:tcW w:w="1281" w:type="dxa"/>
            <w:noWrap w:val="0"/>
            <w:vAlign w:val="top"/>
          </w:tcPr>
          <w:p w14:paraId="6D85EC9C">
            <w:pPr>
              <w:pStyle w:val="22"/>
              <w:rPr>
                <w:rFonts w:hint="eastAsia" w:ascii="宋体" w:hAnsi="宋体"/>
                <w:b/>
              </w:rPr>
            </w:pPr>
          </w:p>
        </w:tc>
        <w:tc>
          <w:tcPr>
            <w:tcW w:w="1481" w:type="dxa"/>
            <w:noWrap w:val="0"/>
            <w:vAlign w:val="top"/>
          </w:tcPr>
          <w:p w14:paraId="3DFF8D6B">
            <w:pPr>
              <w:pStyle w:val="22"/>
              <w:rPr>
                <w:rFonts w:hint="eastAsia" w:ascii="宋体" w:hAnsi="宋体"/>
                <w:b/>
              </w:rPr>
            </w:pPr>
          </w:p>
        </w:tc>
        <w:tc>
          <w:tcPr>
            <w:tcW w:w="1559" w:type="dxa"/>
            <w:noWrap w:val="0"/>
            <w:vAlign w:val="top"/>
          </w:tcPr>
          <w:p w14:paraId="2C2E298E">
            <w:pPr>
              <w:pStyle w:val="22"/>
              <w:rPr>
                <w:rFonts w:hint="eastAsia" w:ascii="宋体" w:hAnsi="宋体"/>
                <w:b/>
              </w:rPr>
            </w:pPr>
          </w:p>
        </w:tc>
      </w:tr>
      <w:tr w14:paraId="480261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808" w:type="dxa"/>
            <w:noWrap w:val="0"/>
            <w:vAlign w:val="top"/>
          </w:tcPr>
          <w:p w14:paraId="0F451C7A">
            <w:pPr>
              <w:pStyle w:val="22"/>
              <w:rPr>
                <w:rFonts w:hint="eastAsia" w:ascii="宋体" w:hAnsi="宋体"/>
                <w:b/>
              </w:rPr>
            </w:pPr>
          </w:p>
        </w:tc>
        <w:tc>
          <w:tcPr>
            <w:tcW w:w="2061" w:type="dxa"/>
            <w:noWrap w:val="0"/>
            <w:vAlign w:val="top"/>
          </w:tcPr>
          <w:p w14:paraId="4FB531FC">
            <w:pPr>
              <w:pStyle w:val="22"/>
              <w:rPr>
                <w:rFonts w:hint="eastAsia" w:ascii="宋体" w:hAnsi="宋体"/>
                <w:b/>
              </w:rPr>
            </w:pPr>
          </w:p>
        </w:tc>
        <w:tc>
          <w:tcPr>
            <w:tcW w:w="1317" w:type="dxa"/>
            <w:noWrap w:val="0"/>
            <w:vAlign w:val="top"/>
          </w:tcPr>
          <w:p w14:paraId="05CB7BDE">
            <w:pPr>
              <w:pStyle w:val="22"/>
              <w:rPr>
                <w:rFonts w:hint="eastAsia" w:ascii="宋体" w:hAnsi="宋体"/>
                <w:b/>
              </w:rPr>
            </w:pPr>
          </w:p>
        </w:tc>
        <w:tc>
          <w:tcPr>
            <w:tcW w:w="775" w:type="dxa"/>
            <w:noWrap w:val="0"/>
            <w:vAlign w:val="top"/>
          </w:tcPr>
          <w:p w14:paraId="615718CA">
            <w:pPr>
              <w:pStyle w:val="22"/>
              <w:rPr>
                <w:rFonts w:hint="eastAsia" w:ascii="宋体" w:hAnsi="宋体"/>
                <w:b/>
              </w:rPr>
            </w:pPr>
          </w:p>
        </w:tc>
        <w:tc>
          <w:tcPr>
            <w:tcW w:w="1281" w:type="dxa"/>
            <w:noWrap w:val="0"/>
            <w:vAlign w:val="top"/>
          </w:tcPr>
          <w:p w14:paraId="455EB842">
            <w:pPr>
              <w:pStyle w:val="22"/>
              <w:rPr>
                <w:rFonts w:hint="eastAsia" w:ascii="宋体" w:hAnsi="宋体"/>
                <w:b/>
              </w:rPr>
            </w:pPr>
          </w:p>
        </w:tc>
        <w:tc>
          <w:tcPr>
            <w:tcW w:w="1481" w:type="dxa"/>
            <w:noWrap w:val="0"/>
            <w:vAlign w:val="top"/>
          </w:tcPr>
          <w:p w14:paraId="6213A5B5">
            <w:pPr>
              <w:pStyle w:val="22"/>
              <w:rPr>
                <w:rFonts w:hint="eastAsia" w:ascii="宋体" w:hAnsi="宋体"/>
                <w:b/>
              </w:rPr>
            </w:pPr>
          </w:p>
        </w:tc>
        <w:tc>
          <w:tcPr>
            <w:tcW w:w="1559" w:type="dxa"/>
            <w:noWrap w:val="0"/>
            <w:vAlign w:val="top"/>
          </w:tcPr>
          <w:p w14:paraId="718BFA80">
            <w:pPr>
              <w:pStyle w:val="22"/>
              <w:rPr>
                <w:rFonts w:hint="eastAsia" w:ascii="宋体" w:hAnsi="宋体"/>
                <w:b/>
              </w:rPr>
            </w:pPr>
          </w:p>
        </w:tc>
      </w:tr>
      <w:tr w14:paraId="7C7D54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808" w:type="dxa"/>
            <w:noWrap w:val="0"/>
            <w:vAlign w:val="center"/>
          </w:tcPr>
          <w:p w14:paraId="71E47969">
            <w:pPr>
              <w:pStyle w:val="22"/>
              <w:keepNext w:val="0"/>
              <w:keepLines w:val="0"/>
              <w:pageBreakBefore w:val="0"/>
              <w:widowControl w:val="0"/>
              <w:kinsoku/>
              <w:wordWrap/>
              <w:overflowPunct/>
              <w:topLinePunct w:val="0"/>
              <w:autoSpaceDE/>
              <w:autoSpaceDN/>
              <w:bidi w:val="0"/>
              <w:adjustRightInd/>
              <w:snapToGrid/>
              <w:spacing w:line="240" w:lineRule="exact"/>
              <w:ind w:left="0" w:leftChars="0" w:firstLine="0" w:firstLineChars="0"/>
              <w:jc w:val="center"/>
              <w:textAlignment w:val="auto"/>
              <w:rPr>
                <w:rFonts w:hint="eastAsia" w:ascii="宋体" w:hAnsi="宋体" w:eastAsia="宋体"/>
                <w:b/>
                <w:lang w:val="en-US" w:eastAsia="zh-CN"/>
              </w:rPr>
            </w:pPr>
            <w:r>
              <w:rPr>
                <w:rFonts w:hint="eastAsia" w:ascii="宋体" w:hAnsi="宋体"/>
                <w:b/>
                <w:lang w:val="en-US" w:eastAsia="zh-CN"/>
              </w:rPr>
              <w:t>合计</w:t>
            </w:r>
          </w:p>
        </w:tc>
        <w:tc>
          <w:tcPr>
            <w:tcW w:w="2061" w:type="dxa"/>
            <w:noWrap w:val="0"/>
            <w:vAlign w:val="center"/>
          </w:tcPr>
          <w:p w14:paraId="10063B5D">
            <w:pPr>
              <w:pStyle w:val="22"/>
              <w:keepNext w:val="0"/>
              <w:keepLines w:val="0"/>
              <w:pageBreakBefore w:val="0"/>
              <w:widowControl w:val="0"/>
              <w:kinsoku/>
              <w:wordWrap/>
              <w:overflowPunct/>
              <w:topLinePunct w:val="0"/>
              <w:autoSpaceDE/>
              <w:autoSpaceDN/>
              <w:bidi w:val="0"/>
              <w:adjustRightInd/>
              <w:snapToGrid/>
              <w:spacing w:line="240" w:lineRule="exact"/>
              <w:jc w:val="center"/>
              <w:textAlignment w:val="auto"/>
              <w:rPr>
                <w:rFonts w:hint="eastAsia" w:ascii="宋体" w:hAnsi="宋体"/>
                <w:b/>
              </w:rPr>
            </w:pPr>
          </w:p>
        </w:tc>
        <w:tc>
          <w:tcPr>
            <w:tcW w:w="1317" w:type="dxa"/>
            <w:noWrap w:val="0"/>
            <w:vAlign w:val="center"/>
          </w:tcPr>
          <w:p w14:paraId="39034271">
            <w:pPr>
              <w:pStyle w:val="22"/>
              <w:keepNext w:val="0"/>
              <w:keepLines w:val="0"/>
              <w:pageBreakBefore w:val="0"/>
              <w:widowControl w:val="0"/>
              <w:kinsoku/>
              <w:wordWrap/>
              <w:overflowPunct/>
              <w:topLinePunct w:val="0"/>
              <w:autoSpaceDE/>
              <w:autoSpaceDN/>
              <w:bidi w:val="0"/>
              <w:adjustRightInd/>
              <w:snapToGrid/>
              <w:spacing w:line="240" w:lineRule="exact"/>
              <w:jc w:val="center"/>
              <w:textAlignment w:val="auto"/>
              <w:rPr>
                <w:rFonts w:hint="eastAsia" w:ascii="宋体" w:hAnsi="宋体"/>
                <w:b/>
              </w:rPr>
            </w:pPr>
          </w:p>
        </w:tc>
        <w:tc>
          <w:tcPr>
            <w:tcW w:w="775" w:type="dxa"/>
            <w:noWrap w:val="0"/>
            <w:vAlign w:val="center"/>
          </w:tcPr>
          <w:p w14:paraId="7F722CF9">
            <w:pPr>
              <w:pStyle w:val="22"/>
              <w:keepNext w:val="0"/>
              <w:keepLines w:val="0"/>
              <w:pageBreakBefore w:val="0"/>
              <w:widowControl w:val="0"/>
              <w:kinsoku/>
              <w:wordWrap/>
              <w:overflowPunct/>
              <w:topLinePunct w:val="0"/>
              <w:autoSpaceDE/>
              <w:autoSpaceDN/>
              <w:bidi w:val="0"/>
              <w:adjustRightInd/>
              <w:snapToGrid/>
              <w:spacing w:line="240" w:lineRule="exact"/>
              <w:jc w:val="center"/>
              <w:textAlignment w:val="auto"/>
              <w:rPr>
                <w:rFonts w:hint="eastAsia" w:ascii="宋体" w:hAnsi="宋体"/>
                <w:b/>
              </w:rPr>
            </w:pPr>
          </w:p>
        </w:tc>
        <w:tc>
          <w:tcPr>
            <w:tcW w:w="1281" w:type="dxa"/>
            <w:noWrap w:val="0"/>
            <w:vAlign w:val="center"/>
          </w:tcPr>
          <w:p w14:paraId="70099A1F">
            <w:pPr>
              <w:pStyle w:val="22"/>
              <w:keepNext w:val="0"/>
              <w:keepLines w:val="0"/>
              <w:pageBreakBefore w:val="0"/>
              <w:widowControl w:val="0"/>
              <w:kinsoku/>
              <w:wordWrap/>
              <w:overflowPunct/>
              <w:topLinePunct w:val="0"/>
              <w:autoSpaceDE/>
              <w:autoSpaceDN/>
              <w:bidi w:val="0"/>
              <w:adjustRightInd/>
              <w:snapToGrid/>
              <w:spacing w:line="240" w:lineRule="exact"/>
              <w:jc w:val="center"/>
              <w:textAlignment w:val="auto"/>
              <w:rPr>
                <w:rFonts w:hint="eastAsia" w:ascii="宋体" w:hAnsi="宋体"/>
                <w:b/>
              </w:rPr>
            </w:pPr>
            <w:r>
              <w:rPr>
                <w:rFonts w:hint="eastAsia" w:ascii="宋体" w:hAnsi="宋体"/>
                <w:b/>
                <w:lang w:val="en-US" w:eastAsia="zh-CN"/>
              </w:rPr>
              <w:t>必填项</w:t>
            </w:r>
          </w:p>
        </w:tc>
        <w:tc>
          <w:tcPr>
            <w:tcW w:w="1481" w:type="dxa"/>
            <w:noWrap w:val="0"/>
            <w:vAlign w:val="top"/>
          </w:tcPr>
          <w:p w14:paraId="3B28BE63">
            <w:pPr>
              <w:pStyle w:val="22"/>
              <w:rPr>
                <w:rFonts w:hint="eastAsia" w:ascii="宋体" w:hAnsi="宋体"/>
                <w:b/>
              </w:rPr>
            </w:pPr>
          </w:p>
        </w:tc>
        <w:tc>
          <w:tcPr>
            <w:tcW w:w="1559" w:type="dxa"/>
            <w:noWrap w:val="0"/>
            <w:vAlign w:val="top"/>
          </w:tcPr>
          <w:p w14:paraId="3973CC3C">
            <w:pPr>
              <w:pStyle w:val="22"/>
              <w:rPr>
                <w:rFonts w:hint="eastAsia" w:ascii="宋体" w:hAnsi="宋体"/>
                <w:b/>
              </w:rPr>
            </w:pPr>
          </w:p>
        </w:tc>
      </w:tr>
    </w:tbl>
    <w:p w14:paraId="4125E3A7">
      <w:pPr>
        <w:spacing w:line="0" w:lineRule="atLeast"/>
        <w:rPr>
          <w:rFonts w:hint="eastAsia" w:ascii="宋体" w:hAnsi="宋体"/>
          <w:sz w:val="24"/>
        </w:rPr>
      </w:pPr>
    </w:p>
    <w:p w14:paraId="2FCE980D">
      <w:pPr>
        <w:spacing w:line="0" w:lineRule="atLeast"/>
        <w:ind w:firstLine="480" w:firstLineChars="200"/>
        <w:rPr>
          <w:rFonts w:hint="eastAsia" w:ascii="宋体" w:hAnsi="宋体"/>
          <w:sz w:val="24"/>
        </w:rPr>
      </w:pPr>
      <w:r>
        <w:rPr>
          <w:rFonts w:hint="eastAsia" w:ascii="宋体" w:hAnsi="宋体"/>
          <w:sz w:val="24"/>
        </w:rPr>
        <w:t>注：</w:t>
      </w:r>
      <w:r>
        <w:rPr>
          <w:rFonts w:hint="eastAsia" w:ascii="宋体" w:hAnsi="宋体" w:cs="宋体"/>
          <w:kern w:val="0"/>
          <w:sz w:val="24"/>
        </w:rPr>
        <w:t>提供三年国内同类产品的制造销售业绩（用户名单、联系方式）</w:t>
      </w:r>
      <w:r>
        <w:rPr>
          <w:rFonts w:hint="eastAsia" w:ascii="宋体" w:hAnsi="宋体"/>
          <w:sz w:val="24"/>
        </w:rPr>
        <w:t>。</w:t>
      </w:r>
    </w:p>
    <w:p w14:paraId="6752BD22">
      <w:pPr>
        <w:tabs>
          <w:tab w:val="left" w:pos="1578"/>
          <w:tab w:val="left" w:pos="10083"/>
        </w:tabs>
        <w:spacing w:line="500" w:lineRule="exact"/>
        <w:rPr>
          <w:rFonts w:hint="eastAsia" w:ascii="宋体" w:hAnsi="宋体"/>
          <w:sz w:val="24"/>
        </w:rPr>
      </w:pPr>
    </w:p>
    <w:p w14:paraId="59CB2DFF">
      <w:pPr>
        <w:spacing w:line="660" w:lineRule="exact"/>
        <w:ind w:firstLine="480" w:firstLineChars="200"/>
        <w:rPr>
          <w:rFonts w:hint="eastAsia" w:ascii="宋体" w:hAnsi="宋体"/>
          <w:sz w:val="24"/>
        </w:rPr>
      </w:pPr>
      <w:r>
        <w:rPr>
          <w:rFonts w:hint="eastAsia" w:ascii="宋体" w:hAnsi="宋体"/>
          <w:sz w:val="24"/>
        </w:rPr>
        <w:t>投标人：（盖章）</w:t>
      </w:r>
    </w:p>
    <w:p w14:paraId="2D2CCA32">
      <w:pPr>
        <w:spacing w:line="660" w:lineRule="exact"/>
        <w:ind w:firstLine="480" w:firstLineChars="200"/>
        <w:rPr>
          <w:rFonts w:hint="eastAsia" w:ascii="宋体" w:hAnsi="宋体"/>
          <w:sz w:val="24"/>
        </w:rPr>
      </w:pPr>
      <w:r>
        <w:rPr>
          <w:rFonts w:hint="eastAsia" w:ascii="宋体" w:hAnsi="宋体"/>
          <w:sz w:val="24"/>
        </w:rPr>
        <w:t>法定代表人（委托代理人）：（签字）</w:t>
      </w:r>
    </w:p>
    <w:p w14:paraId="523CE009">
      <w:pPr>
        <w:pStyle w:val="113"/>
        <w:rPr>
          <w:rFonts w:hint="eastAsia"/>
        </w:rPr>
      </w:pPr>
    </w:p>
    <w:p w14:paraId="1AA7C873">
      <w:pPr>
        <w:pStyle w:val="113"/>
        <w:ind w:firstLine="420" w:firstLineChars="200"/>
        <w:rPr>
          <w:rFonts w:hint="eastAsia"/>
        </w:rPr>
      </w:pPr>
      <w:r>
        <w:rPr>
          <w:rFonts w:hint="eastAsia"/>
        </w:rPr>
        <w:t>日  期</w:t>
      </w:r>
    </w:p>
    <w:p w14:paraId="7009EB58">
      <w:pPr>
        <w:pStyle w:val="112"/>
        <w:ind w:left="0" w:leftChars="0" w:firstLine="0" w:firstLineChars="0"/>
        <w:rPr>
          <w:rFonts w:hint="eastAsia" w:cs="宋体"/>
        </w:rPr>
      </w:pPr>
    </w:p>
    <w:p w14:paraId="2EB8458E">
      <w:pPr>
        <w:pStyle w:val="112"/>
        <w:ind w:left="0" w:leftChars="0" w:firstLine="0" w:firstLineChars="0"/>
        <w:rPr>
          <w:rFonts w:hint="eastAsia" w:cs="宋体"/>
        </w:rPr>
      </w:pPr>
    </w:p>
    <w:p w14:paraId="7563CE18">
      <w:pPr>
        <w:pStyle w:val="112"/>
        <w:ind w:left="0" w:leftChars="0" w:firstLine="0" w:firstLineChars="0"/>
        <w:rPr>
          <w:rFonts w:hint="eastAsia" w:cs="宋体"/>
        </w:rPr>
      </w:pPr>
    </w:p>
    <w:p w14:paraId="5376116F">
      <w:pPr>
        <w:pStyle w:val="112"/>
        <w:ind w:left="0" w:leftChars="0" w:firstLine="482" w:firstLineChars="200"/>
        <w:rPr>
          <w:rFonts w:hint="eastAsia"/>
        </w:rPr>
      </w:pPr>
      <w:r>
        <w:rPr>
          <w:rFonts w:hint="eastAsia" w:cs="宋体"/>
        </w:rPr>
        <w:t>格式</w:t>
      </w:r>
      <w:r>
        <w:rPr>
          <w:rFonts w:hint="eastAsia" w:cs="宋体"/>
          <w:lang w:val="en-US" w:eastAsia="zh-CN"/>
        </w:rPr>
        <w:t xml:space="preserve">2 </w:t>
      </w:r>
      <w:r>
        <w:rPr>
          <w:rFonts w:hint="eastAsia"/>
        </w:rPr>
        <w:t>技术规格偏离表</w:t>
      </w:r>
    </w:p>
    <w:p w14:paraId="67EE8F4B">
      <w:pPr>
        <w:pStyle w:val="112"/>
        <w:rPr>
          <w:rFonts w:hint="eastAsia"/>
        </w:rPr>
      </w:pPr>
    </w:p>
    <w:p w14:paraId="10B633BE">
      <w:pPr>
        <w:ind w:firstLine="420" w:firstLineChars="200"/>
        <w:rPr>
          <w:rFonts w:hint="eastAsia"/>
        </w:rPr>
      </w:pPr>
      <w:r>
        <w:rPr>
          <w:rFonts w:hint="eastAsia"/>
        </w:rPr>
        <w:t xml:space="preserve">招标项目： </w:t>
      </w:r>
    </w:p>
    <w:tbl>
      <w:tblPr>
        <w:tblStyle w:val="31"/>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24"/>
        <w:gridCol w:w="3535"/>
        <w:gridCol w:w="2475"/>
        <w:gridCol w:w="1648"/>
      </w:tblGrid>
      <w:tr w14:paraId="3C84B1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trPr>
        <w:tc>
          <w:tcPr>
            <w:tcW w:w="1624" w:type="dxa"/>
            <w:noWrap w:val="0"/>
            <w:vAlign w:val="center"/>
          </w:tcPr>
          <w:p w14:paraId="7A8117D3">
            <w:pPr>
              <w:pStyle w:val="114"/>
              <w:rPr>
                <w:rFonts w:hint="eastAsia"/>
              </w:rPr>
            </w:pPr>
            <w:r>
              <w:rPr>
                <w:rFonts w:hint="eastAsia" w:ascii="宋体" w:hAnsi="宋体" w:eastAsia="宋体" w:cs="宋体"/>
              </w:rPr>
              <w:t>序号</w:t>
            </w:r>
          </w:p>
        </w:tc>
        <w:tc>
          <w:tcPr>
            <w:tcW w:w="3535" w:type="dxa"/>
            <w:noWrap w:val="0"/>
            <w:vAlign w:val="center"/>
          </w:tcPr>
          <w:p w14:paraId="043BF4B4">
            <w:pPr>
              <w:pStyle w:val="114"/>
              <w:rPr>
                <w:rFonts w:hint="eastAsia"/>
              </w:rPr>
            </w:pPr>
            <w:r>
              <w:rPr>
                <w:rFonts w:hint="eastAsia" w:ascii="宋体" w:hAnsi="宋体" w:eastAsia="宋体" w:cs="宋体"/>
              </w:rPr>
              <w:t>招标要求</w:t>
            </w:r>
          </w:p>
        </w:tc>
        <w:tc>
          <w:tcPr>
            <w:tcW w:w="2475" w:type="dxa"/>
            <w:noWrap w:val="0"/>
            <w:vAlign w:val="center"/>
          </w:tcPr>
          <w:p w14:paraId="02724EA8">
            <w:pPr>
              <w:pStyle w:val="114"/>
              <w:rPr>
                <w:rFonts w:hint="eastAsia"/>
              </w:rPr>
            </w:pPr>
            <w:r>
              <w:rPr>
                <w:rFonts w:hint="eastAsia" w:ascii="宋体" w:hAnsi="宋体" w:eastAsia="宋体" w:cs="宋体"/>
              </w:rPr>
              <w:t>响应规格</w:t>
            </w:r>
          </w:p>
        </w:tc>
        <w:tc>
          <w:tcPr>
            <w:tcW w:w="1648" w:type="dxa"/>
            <w:noWrap w:val="0"/>
            <w:vAlign w:val="center"/>
          </w:tcPr>
          <w:p w14:paraId="6038C14F">
            <w:pPr>
              <w:pStyle w:val="114"/>
              <w:rPr>
                <w:rFonts w:hint="eastAsia"/>
              </w:rPr>
            </w:pPr>
            <w:r>
              <w:rPr>
                <w:rFonts w:hint="eastAsia" w:ascii="宋体" w:hAnsi="宋体" w:eastAsia="宋体" w:cs="宋体"/>
              </w:rPr>
              <w:t>是否偏离</w:t>
            </w:r>
          </w:p>
        </w:tc>
      </w:tr>
      <w:tr w14:paraId="016212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28" w:hRule="exact"/>
        </w:trPr>
        <w:tc>
          <w:tcPr>
            <w:tcW w:w="1624" w:type="dxa"/>
            <w:noWrap w:val="0"/>
            <w:vAlign w:val="center"/>
          </w:tcPr>
          <w:p w14:paraId="206335C2">
            <w:pPr>
              <w:pStyle w:val="114"/>
              <w:rPr>
                <w:rFonts w:hint="eastAsia" w:eastAsia="宋体"/>
                <w:sz w:val="24"/>
              </w:rPr>
            </w:pPr>
          </w:p>
        </w:tc>
        <w:tc>
          <w:tcPr>
            <w:tcW w:w="3535" w:type="dxa"/>
            <w:noWrap w:val="0"/>
            <w:vAlign w:val="center"/>
          </w:tcPr>
          <w:p w14:paraId="2AD1505B">
            <w:pPr>
              <w:spacing w:line="240" w:lineRule="exact"/>
              <w:jc w:val="left"/>
              <w:rPr>
                <w:rFonts w:hint="eastAsia" w:ascii="宋体" w:hAnsi="宋体" w:eastAsia="宋体"/>
                <w:sz w:val="24"/>
                <w:szCs w:val="24"/>
              </w:rPr>
            </w:pPr>
          </w:p>
        </w:tc>
        <w:tc>
          <w:tcPr>
            <w:tcW w:w="2475" w:type="dxa"/>
            <w:noWrap w:val="0"/>
            <w:vAlign w:val="center"/>
          </w:tcPr>
          <w:p w14:paraId="6F867959">
            <w:pPr>
              <w:pStyle w:val="114"/>
              <w:rPr>
                <w:rFonts w:hint="eastAsia"/>
                <w:sz w:val="24"/>
              </w:rPr>
            </w:pPr>
          </w:p>
        </w:tc>
        <w:tc>
          <w:tcPr>
            <w:tcW w:w="1648" w:type="dxa"/>
            <w:noWrap w:val="0"/>
            <w:vAlign w:val="center"/>
          </w:tcPr>
          <w:p w14:paraId="5969B8C9">
            <w:pPr>
              <w:pStyle w:val="114"/>
              <w:rPr>
                <w:rFonts w:hint="eastAsia"/>
                <w:sz w:val="24"/>
              </w:rPr>
            </w:pPr>
          </w:p>
        </w:tc>
      </w:tr>
      <w:tr w14:paraId="060686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1624" w:type="dxa"/>
            <w:noWrap w:val="0"/>
            <w:vAlign w:val="center"/>
          </w:tcPr>
          <w:p w14:paraId="538447ED">
            <w:pPr>
              <w:pStyle w:val="114"/>
              <w:rPr>
                <w:rFonts w:hint="eastAsia" w:eastAsia="宋体"/>
                <w:sz w:val="24"/>
              </w:rPr>
            </w:pPr>
          </w:p>
        </w:tc>
        <w:tc>
          <w:tcPr>
            <w:tcW w:w="3535" w:type="dxa"/>
            <w:noWrap w:val="0"/>
            <w:vAlign w:val="center"/>
          </w:tcPr>
          <w:p w14:paraId="2B8E3222">
            <w:pPr>
              <w:spacing w:line="240" w:lineRule="exact"/>
              <w:ind w:firstLine="480" w:firstLineChars="200"/>
              <w:rPr>
                <w:rFonts w:hint="eastAsia" w:ascii="宋体" w:hAnsi="宋体" w:eastAsia="宋体"/>
                <w:sz w:val="24"/>
                <w:szCs w:val="24"/>
              </w:rPr>
            </w:pPr>
          </w:p>
        </w:tc>
        <w:tc>
          <w:tcPr>
            <w:tcW w:w="2475" w:type="dxa"/>
            <w:noWrap w:val="0"/>
            <w:vAlign w:val="center"/>
          </w:tcPr>
          <w:p w14:paraId="26654215">
            <w:pPr>
              <w:pStyle w:val="114"/>
              <w:rPr>
                <w:rFonts w:hint="eastAsia"/>
                <w:i/>
                <w:sz w:val="24"/>
              </w:rPr>
            </w:pPr>
          </w:p>
        </w:tc>
        <w:tc>
          <w:tcPr>
            <w:tcW w:w="1648" w:type="dxa"/>
            <w:noWrap w:val="0"/>
            <w:vAlign w:val="center"/>
          </w:tcPr>
          <w:p w14:paraId="6634C9DD">
            <w:pPr>
              <w:pStyle w:val="114"/>
              <w:rPr>
                <w:rFonts w:hint="eastAsia"/>
                <w:sz w:val="24"/>
              </w:rPr>
            </w:pPr>
          </w:p>
        </w:tc>
      </w:tr>
      <w:tr w14:paraId="53C489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1624" w:type="dxa"/>
            <w:noWrap w:val="0"/>
            <w:vAlign w:val="center"/>
          </w:tcPr>
          <w:p w14:paraId="172AA15B">
            <w:pPr>
              <w:pStyle w:val="114"/>
              <w:rPr>
                <w:rFonts w:hint="eastAsia" w:eastAsia="宋体"/>
                <w:sz w:val="24"/>
              </w:rPr>
            </w:pPr>
          </w:p>
        </w:tc>
        <w:tc>
          <w:tcPr>
            <w:tcW w:w="3535" w:type="dxa"/>
            <w:noWrap w:val="0"/>
            <w:vAlign w:val="center"/>
          </w:tcPr>
          <w:p w14:paraId="5B1BA54D">
            <w:pPr>
              <w:spacing w:line="240" w:lineRule="exact"/>
              <w:jc w:val="left"/>
              <w:rPr>
                <w:rFonts w:hint="eastAsia" w:ascii="宋体" w:hAnsi="宋体" w:eastAsia="宋体"/>
                <w:sz w:val="24"/>
                <w:szCs w:val="24"/>
              </w:rPr>
            </w:pPr>
          </w:p>
        </w:tc>
        <w:tc>
          <w:tcPr>
            <w:tcW w:w="2475" w:type="dxa"/>
            <w:noWrap w:val="0"/>
            <w:vAlign w:val="top"/>
          </w:tcPr>
          <w:p w14:paraId="099E46A0">
            <w:pPr>
              <w:pStyle w:val="114"/>
              <w:rPr>
                <w:rFonts w:hint="eastAsia"/>
                <w:sz w:val="24"/>
              </w:rPr>
            </w:pPr>
          </w:p>
        </w:tc>
        <w:tc>
          <w:tcPr>
            <w:tcW w:w="1648" w:type="dxa"/>
            <w:noWrap w:val="0"/>
            <w:vAlign w:val="top"/>
          </w:tcPr>
          <w:p w14:paraId="10313C13">
            <w:pPr>
              <w:pStyle w:val="114"/>
              <w:rPr>
                <w:rFonts w:hint="eastAsia"/>
                <w:sz w:val="24"/>
              </w:rPr>
            </w:pPr>
          </w:p>
        </w:tc>
      </w:tr>
      <w:tr w14:paraId="5D4616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trPr>
        <w:tc>
          <w:tcPr>
            <w:tcW w:w="1624" w:type="dxa"/>
            <w:noWrap w:val="0"/>
            <w:vAlign w:val="center"/>
          </w:tcPr>
          <w:p w14:paraId="26849CB7">
            <w:pPr>
              <w:pStyle w:val="114"/>
              <w:rPr>
                <w:rFonts w:hint="eastAsia" w:eastAsia="宋体"/>
                <w:sz w:val="24"/>
              </w:rPr>
            </w:pPr>
          </w:p>
        </w:tc>
        <w:tc>
          <w:tcPr>
            <w:tcW w:w="3535" w:type="dxa"/>
            <w:noWrap w:val="0"/>
            <w:vAlign w:val="top"/>
          </w:tcPr>
          <w:p w14:paraId="3977CCAE">
            <w:pPr>
              <w:spacing w:line="240" w:lineRule="exact"/>
              <w:jc w:val="left"/>
              <w:rPr>
                <w:rFonts w:hint="eastAsia" w:ascii="宋体" w:hAnsi="宋体" w:eastAsia="宋体"/>
                <w:sz w:val="24"/>
                <w:szCs w:val="24"/>
              </w:rPr>
            </w:pPr>
          </w:p>
        </w:tc>
        <w:tc>
          <w:tcPr>
            <w:tcW w:w="2475" w:type="dxa"/>
            <w:noWrap w:val="0"/>
            <w:vAlign w:val="top"/>
          </w:tcPr>
          <w:p w14:paraId="2FD46D50">
            <w:pPr>
              <w:pStyle w:val="114"/>
              <w:rPr>
                <w:rFonts w:hint="eastAsia"/>
                <w:sz w:val="24"/>
              </w:rPr>
            </w:pPr>
          </w:p>
        </w:tc>
        <w:tc>
          <w:tcPr>
            <w:tcW w:w="1648" w:type="dxa"/>
            <w:noWrap w:val="0"/>
            <w:vAlign w:val="top"/>
          </w:tcPr>
          <w:p w14:paraId="77BC786C">
            <w:pPr>
              <w:pStyle w:val="114"/>
              <w:rPr>
                <w:rFonts w:hint="eastAsia"/>
                <w:sz w:val="24"/>
              </w:rPr>
            </w:pPr>
          </w:p>
        </w:tc>
      </w:tr>
      <w:tr w14:paraId="20CF21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1624" w:type="dxa"/>
            <w:noWrap w:val="0"/>
            <w:vAlign w:val="center"/>
          </w:tcPr>
          <w:p w14:paraId="73DC9421">
            <w:pPr>
              <w:pStyle w:val="114"/>
              <w:rPr>
                <w:rFonts w:hint="eastAsia" w:eastAsia="宋体"/>
                <w:sz w:val="24"/>
              </w:rPr>
            </w:pPr>
          </w:p>
        </w:tc>
        <w:tc>
          <w:tcPr>
            <w:tcW w:w="3535" w:type="dxa"/>
            <w:noWrap w:val="0"/>
            <w:vAlign w:val="top"/>
          </w:tcPr>
          <w:p w14:paraId="018ACEC1">
            <w:pPr>
              <w:pStyle w:val="114"/>
              <w:rPr>
                <w:rFonts w:hint="eastAsia" w:eastAsia="宋体"/>
                <w:b w:val="0"/>
                <w:sz w:val="24"/>
              </w:rPr>
            </w:pPr>
          </w:p>
        </w:tc>
        <w:tc>
          <w:tcPr>
            <w:tcW w:w="2475" w:type="dxa"/>
            <w:noWrap w:val="0"/>
            <w:vAlign w:val="top"/>
          </w:tcPr>
          <w:p w14:paraId="4164F41C">
            <w:pPr>
              <w:pStyle w:val="114"/>
              <w:rPr>
                <w:rFonts w:hint="eastAsia"/>
                <w:sz w:val="24"/>
              </w:rPr>
            </w:pPr>
          </w:p>
        </w:tc>
        <w:tc>
          <w:tcPr>
            <w:tcW w:w="1648" w:type="dxa"/>
            <w:noWrap w:val="0"/>
            <w:vAlign w:val="top"/>
          </w:tcPr>
          <w:p w14:paraId="08967091">
            <w:pPr>
              <w:pStyle w:val="114"/>
              <w:rPr>
                <w:rFonts w:hint="eastAsia"/>
                <w:sz w:val="24"/>
              </w:rPr>
            </w:pPr>
          </w:p>
        </w:tc>
      </w:tr>
      <w:tr w14:paraId="7AB18D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1624" w:type="dxa"/>
            <w:noWrap w:val="0"/>
            <w:vAlign w:val="center"/>
          </w:tcPr>
          <w:p w14:paraId="2A3DF8CF">
            <w:pPr>
              <w:pStyle w:val="114"/>
              <w:rPr>
                <w:rFonts w:hint="eastAsia" w:eastAsia="宋体"/>
                <w:sz w:val="24"/>
              </w:rPr>
            </w:pPr>
          </w:p>
        </w:tc>
        <w:tc>
          <w:tcPr>
            <w:tcW w:w="3535" w:type="dxa"/>
            <w:noWrap w:val="0"/>
            <w:vAlign w:val="top"/>
          </w:tcPr>
          <w:p w14:paraId="2985D80E">
            <w:pPr>
              <w:pStyle w:val="114"/>
              <w:rPr>
                <w:rFonts w:hint="eastAsia"/>
                <w:b w:val="0"/>
                <w:sz w:val="24"/>
              </w:rPr>
            </w:pPr>
          </w:p>
        </w:tc>
        <w:tc>
          <w:tcPr>
            <w:tcW w:w="2475" w:type="dxa"/>
            <w:noWrap w:val="0"/>
            <w:vAlign w:val="top"/>
          </w:tcPr>
          <w:p w14:paraId="601566D0">
            <w:pPr>
              <w:pStyle w:val="114"/>
              <w:rPr>
                <w:rFonts w:hint="eastAsia"/>
                <w:sz w:val="24"/>
              </w:rPr>
            </w:pPr>
          </w:p>
        </w:tc>
        <w:tc>
          <w:tcPr>
            <w:tcW w:w="1648" w:type="dxa"/>
            <w:noWrap w:val="0"/>
            <w:vAlign w:val="top"/>
          </w:tcPr>
          <w:p w14:paraId="1E22CF34">
            <w:pPr>
              <w:pStyle w:val="114"/>
              <w:rPr>
                <w:rFonts w:hint="eastAsia"/>
                <w:sz w:val="24"/>
              </w:rPr>
            </w:pPr>
          </w:p>
        </w:tc>
      </w:tr>
      <w:tr w14:paraId="5D6021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1624" w:type="dxa"/>
            <w:noWrap w:val="0"/>
            <w:vAlign w:val="center"/>
          </w:tcPr>
          <w:p w14:paraId="7F24C52F">
            <w:pPr>
              <w:pStyle w:val="114"/>
              <w:rPr>
                <w:rFonts w:hint="eastAsia" w:eastAsia="宋体"/>
                <w:sz w:val="24"/>
              </w:rPr>
            </w:pPr>
          </w:p>
        </w:tc>
        <w:tc>
          <w:tcPr>
            <w:tcW w:w="3535" w:type="dxa"/>
            <w:noWrap w:val="0"/>
            <w:vAlign w:val="center"/>
          </w:tcPr>
          <w:p w14:paraId="4184D25C">
            <w:pPr>
              <w:pStyle w:val="114"/>
              <w:rPr>
                <w:rFonts w:hint="eastAsia" w:eastAsia="宋体"/>
                <w:b w:val="0"/>
                <w:sz w:val="24"/>
              </w:rPr>
            </w:pPr>
          </w:p>
        </w:tc>
        <w:tc>
          <w:tcPr>
            <w:tcW w:w="2475" w:type="dxa"/>
            <w:noWrap w:val="0"/>
            <w:vAlign w:val="top"/>
          </w:tcPr>
          <w:p w14:paraId="7A938BA6">
            <w:pPr>
              <w:pStyle w:val="114"/>
              <w:rPr>
                <w:rFonts w:hint="eastAsia"/>
                <w:sz w:val="24"/>
              </w:rPr>
            </w:pPr>
          </w:p>
        </w:tc>
        <w:tc>
          <w:tcPr>
            <w:tcW w:w="1648" w:type="dxa"/>
            <w:noWrap w:val="0"/>
            <w:vAlign w:val="top"/>
          </w:tcPr>
          <w:p w14:paraId="549ABE1C">
            <w:pPr>
              <w:pStyle w:val="114"/>
              <w:rPr>
                <w:rFonts w:hint="eastAsia"/>
                <w:sz w:val="24"/>
              </w:rPr>
            </w:pPr>
          </w:p>
        </w:tc>
      </w:tr>
      <w:tr w14:paraId="2358D9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trPr>
        <w:tc>
          <w:tcPr>
            <w:tcW w:w="1624" w:type="dxa"/>
            <w:noWrap w:val="0"/>
            <w:vAlign w:val="center"/>
          </w:tcPr>
          <w:p w14:paraId="34142A95">
            <w:pPr>
              <w:pStyle w:val="114"/>
              <w:rPr>
                <w:rFonts w:hint="eastAsia"/>
                <w:sz w:val="24"/>
              </w:rPr>
            </w:pPr>
          </w:p>
        </w:tc>
        <w:tc>
          <w:tcPr>
            <w:tcW w:w="3535" w:type="dxa"/>
            <w:noWrap w:val="0"/>
            <w:vAlign w:val="top"/>
          </w:tcPr>
          <w:p w14:paraId="359D23CF">
            <w:pPr>
              <w:pStyle w:val="114"/>
              <w:rPr>
                <w:rFonts w:hint="eastAsia"/>
                <w:sz w:val="24"/>
              </w:rPr>
            </w:pPr>
          </w:p>
        </w:tc>
        <w:tc>
          <w:tcPr>
            <w:tcW w:w="2475" w:type="dxa"/>
            <w:noWrap w:val="0"/>
            <w:vAlign w:val="top"/>
          </w:tcPr>
          <w:p w14:paraId="088ED7FF">
            <w:pPr>
              <w:pStyle w:val="114"/>
              <w:rPr>
                <w:rFonts w:hint="eastAsia"/>
                <w:sz w:val="24"/>
              </w:rPr>
            </w:pPr>
          </w:p>
        </w:tc>
        <w:tc>
          <w:tcPr>
            <w:tcW w:w="1648" w:type="dxa"/>
            <w:noWrap w:val="0"/>
            <w:vAlign w:val="top"/>
          </w:tcPr>
          <w:p w14:paraId="4378368D">
            <w:pPr>
              <w:pStyle w:val="114"/>
              <w:rPr>
                <w:rFonts w:hint="eastAsia"/>
                <w:sz w:val="24"/>
              </w:rPr>
            </w:pPr>
          </w:p>
        </w:tc>
      </w:tr>
    </w:tbl>
    <w:p w14:paraId="708C8DA4">
      <w:pPr>
        <w:spacing w:line="660" w:lineRule="exact"/>
        <w:rPr>
          <w:rFonts w:hint="eastAsia" w:ascii="宋体" w:hAnsi="宋体"/>
          <w:sz w:val="24"/>
        </w:rPr>
      </w:pPr>
    </w:p>
    <w:p w14:paraId="50548870">
      <w:pPr>
        <w:spacing w:line="660" w:lineRule="exact"/>
        <w:rPr>
          <w:rFonts w:hint="eastAsia" w:ascii="宋体" w:hAnsi="宋体"/>
          <w:sz w:val="24"/>
        </w:rPr>
      </w:pPr>
    </w:p>
    <w:p w14:paraId="02BEB0B6">
      <w:pPr>
        <w:spacing w:line="660" w:lineRule="exact"/>
        <w:rPr>
          <w:rFonts w:hint="eastAsia" w:ascii="宋体" w:hAnsi="宋体"/>
          <w:sz w:val="24"/>
        </w:rPr>
      </w:pPr>
    </w:p>
    <w:p w14:paraId="6263BC7E">
      <w:pPr>
        <w:spacing w:line="660" w:lineRule="exact"/>
        <w:ind w:firstLine="480" w:firstLineChars="200"/>
        <w:rPr>
          <w:rFonts w:hint="eastAsia" w:ascii="宋体" w:hAnsi="宋体"/>
          <w:sz w:val="24"/>
        </w:rPr>
      </w:pPr>
      <w:r>
        <w:rPr>
          <w:rFonts w:hint="eastAsia" w:ascii="宋体" w:hAnsi="宋体"/>
          <w:sz w:val="24"/>
        </w:rPr>
        <w:t xml:space="preserve">投标人：（盖章） </w:t>
      </w:r>
    </w:p>
    <w:p w14:paraId="4116F407">
      <w:pPr>
        <w:spacing w:line="660" w:lineRule="exact"/>
        <w:ind w:firstLine="480" w:firstLineChars="200"/>
        <w:rPr>
          <w:rFonts w:hint="eastAsia" w:ascii="宋体" w:hAnsi="宋体"/>
          <w:sz w:val="24"/>
        </w:rPr>
      </w:pPr>
      <w:r>
        <w:rPr>
          <w:rFonts w:hint="eastAsia" w:ascii="宋体" w:hAnsi="宋体"/>
          <w:sz w:val="24"/>
        </w:rPr>
        <w:t>法定代表人（委托代理人）：（签字）</w:t>
      </w:r>
    </w:p>
    <w:p w14:paraId="23CEA73B">
      <w:pPr>
        <w:rPr>
          <w:rFonts w:ascii="黑体" w:eastAsia="黑体"/>
          <w:color w:val="000000"/>
          <w:sz w:val="24"/>
          <w:szCs w:val="24"/>
        </w:rPr>
      </w:pPr>
    </w:p>
    <w:p w14:paraId="726ADB2A">
      <w:pPr>
        <w:ind w:firstLine="480" w:firstLineChars="200"/>
        <w:rPr>
          <w:rFonts w:hint="eastAsia" w:ascii="宋体" w:hAnsi="宋体" w:cs="宋体"/>
          <w:bCs/>
          <w:color w:val="000000"/>
          <w:sz w:val="24"/>
          <w:szCs w:val="24"/>
        </w:rPr>
      </w:pPr>
      <w:r>
        <w:rPr>
          <w:rFonts w:hint="eastAsia" w:ascii="宋体" w:hAnsi="宋体" w:cs="宋体"/>
          <w:bCs/>
          <w:color w:val="000000"/>
          <w:sz w:val="24"/>
          <w:szCs w:val="24"/>
        </w:rPr>
        <w:t>日期：</w:t>
      </w:r>
    </w:p>
    <w:p w14:paraId="1C46AABA">
      <w:pPr>
        <w:pStyle w:val="111"/>
        <w:ind w:firstLine="0" w:firstLineChars="0"/>
        <w:rPr>
          <w:rFonts w:hint="eastAsia"/>
        </w:rPr>
      </w:pPr>
    </w:p>
    <w:p w14:paraId="39C38950">
      <w:pPr>
        <w:pStyle w:val="111"/>
        <w:ind w:firstLine="480" w:firstLineChars="200"/>
        <w:rPr>
          <w:rFonts w:hint="eastAsia" w:ascii="黑体" w:eastAsia="黑体"/>
          <w:b/>
          <w:sz w:val="52"/>
          <w:szCs w:val="52"/>
          <w:u w:val="none"/>
        </w:rPr>
      </w:pPr>
      <w:r>
        <w:rPr>
          <w:rFonts w:hint="eastAsia"/>
        </w:rPr>
        <w:t>注：为避免歧义，无偏离也应要提报该表，并注明“无”字。如无该表则即使在其它部分已反映，将也被视为“无偏离”。</w:t>
      </w:r>
    </w:p>
    <w:p w14:paraId="0AF553BE">
      <w:pPr>
        <w:jc w:val="both"/>
        <w:rPr>
          <w:rFonts w:hint="eastAsia" w:ascii="黑体" w:eastAsia="黑体"/>
          <w:b/>
          <w:sz w:val="52"/>
          <w:szCs w:val="52"/>
          <w:u w:val="none"/>
        </w:rPr>
      </w:pPr>
    </w:p>
    <w:p w14:paraId="45C83815">
      <w:pPr>
        <w:jc w:val="both"/>
        <w:rPr>
          <w:rFonts w:hint="eastAsia" w:ascii="黑体" w:eastAsia="黑体"/>
          <w:b/>
          <w:sz w:val="52"/>
          <w:szCs w:val="52"/>
          <w:u w:val="none"/>
        </w:rPr>
      </w:pPr>
    </w:p>
    <w:p w14:paraId="281863A6">
      <w:pPr>
        <w:jc w:val="center"/>
        <w:rPr>
          <w:rFonts w:ascii="黑体" w:eastAsia="黑体"/>
          <w:b/>
          <w:sz w:val="52"/>
          <w:szCs w:val="52"/>
          <w:u w:val="none"/>
        </w:rPr>
      </w:pPr>
      <w:r>
        <w:rPr>
          <w:rFonts w:hint="eastAsia" w:ascii="黑体" w:eastAsia="黑体"/>
          <w:b/>
          <w:sz w:val="52"/>
          <w:szCs w:val="52"/>
          <w:u w:val="none"/>
        </w:rPr>
        <w:t>采购产品质量保证与服务协议</w:t>
      </w:r>
    </w:p>
    <w:p w14:paraId="52E2745D">
      <w:pPr>
        <w:ind w:firstLine="422" w:firstLineChars="200"/>
        <w:rPr>
          <w:b/>
          <w:u w:val="none"/>
        </w:rPr>
      </w:pPr>
    </w:p>
    <w:p w14:paraId="5237ECDD">
      <w:pPr>
        <w:ind w:firstLine="422" w:firstLineChars="200"/>
        <w:rPr>
          <w:b/>
          <w:u w:val="none"/>
        </w:rPr>
      </w:pPr>
    </w:p>
    <w:p w14:paraId="0E2E52F8">
      <w:pPr>
        <w:ind w:firstLine="422" w:firstLineChars="200"/>
        <w:rPr>
          <w:b/>
          <w:u w:val="none"/>
        </w:rPr>
      </w:pPr>
    </w:p>
    <w:p w14:paraId="0A13316B">
      <w:pPr>
        <w:ind w:firstLine="422" w:firstLineChars="200"/>
        <w:rPr>
          <w:b/>
          <w:u w:val="none"/>
        </w:rPr>
      </w:pPr>
    </w:p>
    <w:p w14:paraId="5777ABBE">
      <w:pPr>
        <w:ind w:firstLine="422" w:firstLineChars="200"/>
        <w:rPr>
          <w:b/>
          <w:u w:val="none"/>
        </w:rPr>
      </w:pPr>
    </w:p>
    <w:p w14:paraId="752B75E0">
      <w:pPr>
        <w:ind w:firstLine="422" w:firstLineChars="200"/>
        <w:rPr>
          <w:b/>
          <w:u w:val="none"/>
        </w:rPr>
      </w:pPr>
      <w:r>
        <w:rPr>
          <w:rFonts w:hint="eastAsia"/>
          <w:b/>
          <w:u w:val="none"/>
        </w:rPr>
        <w:drawing>
          <wp:anchor distT="0" distB="0" distL="114300" distR="114300" simplePos="0" relativeHeight="251660288" behindDoc="0" locked="0" layoutInCell="1" allowOverlap="1">
            <wp:simplePos x="0" y="0"/>
            <wp:positionH relativeFrom="column">
              <wp:posOffset>1889760</wp:posOffset>
            </wp:positionH>
            <wp:positionV relativeFrom="paragraph">
              <wp:posOffset>52705</wp:posOffset>
            </wp:positionV>
            <wp:extent cx="2337435" cy="2308860"/>
            <wp:effectExtent l="0" t="0" r="5715" b="15240"/>
            <wp:wrapNone/>
            <wp:docPr id="2" name="图片 2" descr="重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重汽"/>
                    <pic:cNvPicPr>
                      <a:picLocks noChangeAspect="1"/>
                    </pic:cNvPicPr>
                  </pic:nvPicPr>
                  <pic:blipFill>
                    <a:blip r:embed="rId13"/>
                    <a:stretch>
                      <a:fillRect/>
                    </a:stretch>
                  </pic:blipFill>
                  <pic:spPr>
                    <a:xfrm>
                      <a:off x="0" y="0"/>
                      <a:ext cx="2337435" cy="2308860"/>
                    </a:xfrm>
                    <a:prstGeom prst="rect">
                      <a:avLst/>
                    </a:prstGeom>
                    <a:noFill/>
                    <a:ln>
                      <a:noFill/>
                    </a:ln>
                  </pic:spPr>
                </pic:pic>
              </a:graphicData>
            </a:graphic>
          </wp:anchor>
        </w:drawing>
      </w:r>
    </w:p>
    <w:p w14:paraId="60869E94">
      <w:pPr>
        <w:ind w:firstLine="422" w:firstLineChars="200"/>
        <w:rPr>
          <w:b/>
          <w:u w:val="none"/>
        </w:rPr>
      </w:pPr>
    </w:p>
    <w:p w14:paraId="36C60959">
      <w:pPr>
        <w:ind w:firstLine="422" w:firstLineChars="200"/>
        <w:rPr>
          <w:b/>
          <w:u w:val="none"/>
        </w:rPr>
      </w:pPr>
    </w:p>
    <w:p w14:paraId="74D0B08C">
      <w:pPr>
        <w:ind w:firstLine="422" w:firstLineChars="200"/>
        <w:rPr>
          <w:b/>
          <w:u w:val="none"/>
        </w:rPr>
      </w:pPr>
    </w:p>
    <w:p w14:paraId="0C062B11">
      <w:pPr>
        <w:ind w:firstLine="422" w:firstLineChars="200"/>
        <w:rPr>
          <w:b/>
          <w:u w:val="none"/>
        </w:rPr>
      </w:pPr>
    </w:p>
    <w:p w14:paraId="15B5A4F5">
      <w:pPr>
        <w:ind w:firstLine="422" w:firstLineChars="200"/>
        <w:rPr>
          <w:b/>
          <w:u w:val="none"/>
        </w:rPr>
      </w:pPr>
    </w:p>
    <w:p w14:paraId="65437CF1">
      <w:pPr>
        <w:ind w:firstLine="422" w:firstLineChars="200"/>
        <w:rPr>
          <w:b/>
          <w:u w:val="none"/>
        </w:rPr>
      </w:pPr>
    </w:p>
    <w:p w14:paraId="6C52EB35">
      <w:pPr>
        <w:ind w:firstLine="422" w:firstLineChars="200"/>
        <w:rPr>
          <w:b/>
          <w:u w:val="none"/>
        </w:rPr>
      </w:pPr>
    </w:p>
    <w:p w14:paraId="163B1578">
      <w:pPr>
        <w:ind w:firstLine="422" w:firstLineChars="200"/>
        <w:rPr>
          <w:b/>
          <w:u w:val="none"/>
        </w:rPr>
      </w:pPr>
    </w:p>
    <w:p w14:paraId="536E5B19">
      <w:pPr>
        <w:ind w:firstLine="422" w:firstLineChars="200"/>
        <w:rPr>
          <w:b/>
          <w:u w:val="none"/>
        </w:rPr>
      </w:pPr>
    </w:p>
    <w:p w14:paraId="0984721C">
      <w:pPr>
        <w:ind w:firstLine="422" w:firstLineChars="200"/>
        <w:rPr>
          <w:b/>
          <w:u w:val="none"/>
        </w:rPr>
      </w:pPr>
    </w:p>
    <w:p w14:paraId="25BBBAFE">
      <w:pPr>
        <w:ind w:firstLine="422" w:firstLineChars="200"/>
        <w:rPr>
          <w:b/>
          <w:u w:val="none"/>
        </w:rPr>
      </w:pPr>
    </w:p>
    <w:p w14:paraId="1C463C50">
      <w:pPr>
        <w:ind w:firstLine="422" w:firstLineChars="200"/>
        <w:rPr>
          <w:b/>
          <w:u w:val="none"/>
        </w:rPr>
      </w:pPr>
    </w:p>
    <w:p w14:paraId="509F93DE">
      <w:pPr>
        <w:ind w:firstLine="422" w:firstLineChars="200"/>
        <w:rPr>
          <w:b/>
          <w:u w:val="none"/>
        </w:rPr>
      </w:pPr>
    </w:p>
    <w:p w14:paraId="7D2679E8">
      <w:pPr>
        <w:ind w:firstLine="422" w:firstLineChars="200"/>
        <w:rPr>
          <w:b/>
          <w:u w:val="none"/>
        </w:rPr>
      </w:pPr>
    </w:p>
    <w:p w14:paraId="5D574585">
      <w:pPr>
        <w:ind w:firstLine="422" w:firstLineChars="200"/>
        <w:rPr>
          <w:b/>
          <w:u w:val="none"/>
        </w:rPr>
      </w:pPr>
    </w:p>
    <w:p w14:paraId="0FA84DE9">
      <w:pPr>
        <w:ind w:firstLine="422" w:firstLineChars="200"/>
        <w:rPr>
          <w:b/>
          <w:u w:val="none"/>
        </w:rPr>
      </w:pPr>
    </w:p>
    <w:p w14:paraId="06024F4F">
      <w:pPr>
        <w:ind w:firstLine="422" w:firstLineChars="200"/>
        <w:rPr>
          <w:b/>
          <w:u w:val="none"/>
        </w:rPr>
      </w:pPr>
    </w:p>
    <w:p w14:paraId="24A8AF3E">
      <w:pPr>
        <w:ind w:firstLine="422" w:firstLineChars="200"/>
        <w:rPr>
          <w:b/>
          <w:u w:val="none"/>
        </w:rPr>
      </w:pPr>
    </w:p>
    <w:p w14:paraId="75BED27E">
      <w:pPr>
        <w:ind w:firstLine="422" w:firstLineChars="200"/>
        <w:rPr>
          <w:b/>
          <w:u w:val="none"/>
        </w:rPr>
      </w:pPr>
    </w:p>
    <w:p w14:paraId="3BBD7DE1">
      <w:pPr>
        <w:ind w:firstLine="643" w:firstLineChars="200"/>
        <w:jc w:val="left"/>
        <w:rPr>
          <w:b/>
          <w:sz w:val="32"/>
          <w:szCs w:val="32"/>
          <w:u w:val="none"/>
        </w:rPr>
      </w:pPr>
    </w:p>
    <w:p w14:paraId="3E6DE4FB">
      <w:pPr>
        <w:jc w:val="center"/>
        <w:rPr>
          <w:rFonts w:ascii="微软雅黑" w:hAnsi="微软雅黑" w:eastAsia="微软雅黑" w:cs="Times New Roman"/>
          <w:sz w:val="32"/>
          <w:szCs w:val="32"/>
          <w:u w:val="none"/>
        </w:rPr>
      </w:pPr>
      <w:r>
        <w:rPr>
          <w:rFonts w:hint="eastAsia" w:ascii="微软雅黑" w:hAnsi="微软雅黑" w:eastAsia="微软雅黑" w:cs="Times New Roman"/>
          <w:sz w:val="32"/>
          <w:szCs w:val="32"/>
          <w:u w:val="none"/>
        </w:rPr>
        <w:t>中国重汽集团济南动力有限公司</w:t>
      </w:r>
    </w:p>
    <w:p w14:paraId="7B84B549">
      <w:pPr>
        <w:ind w:firstLine="640" w:firstLineChars="200"/>
        <w:rPr>
          <w:rFonts w:ascii="微软雅黑" w:hAnsi="微软雅黑" w:eastAsia="微软雅黑"/>
          <w:b/>
          <w:sz w:val="32"/>
          <w:szCs w:val="32"/>
          <w:u w:val="none"/>
        </w:rPr>
      </w:pPr>
    </w:p>
    <w:p w14:paraId="5290DE29">
      <w:pPr>
        <w:ind w:firstLine="640" w:firstLineChars="200"/>
        <w:rPr>
          <w:rFonts w:ascii="微软雅黑" w:hAnsi="微软雅黑" w:eastAsia="微软雅黑"/>
          <w:b/>
          <w:sz w:val="32"/>
          <w:szCs w:val="32"/>
          <w:u w:val="none"/>
        </w:rPr>
      </w:pPr>
    </w:p>
    <w:p w14:paraId="2275EC44">
      <w:pPr>
        <w:ind w:firstLine="640" w:firstLineChars="200"/>
        <w:rPr>
          <w:rFonts w:ascii="微软雅黑" w:hAnsi="微软雅黑" w:eastAsia="微软雅黑"/>
          <w:b/>
          <w:sz w:val="32"/>
          <w:szCs w:val="32"/>
          <w:u w:val="none"/>
        </w:rPr>
      </w:pPr>
    </w:p>
    <w:p w14:paraId="0FB934FB">
      <w:pPr>
        <w:ind w:firstLine="640" w:firstLineChars="200"/>
        <w:rPr>
          <w:rFonts w:ascii="微软雅黑" w:hAnsi="微软雅黑" w:eastAsia="微软雅黑"/>
          <w:b/>
          <w:sz w:val="32"/>
          <w:szCs w:val="32"/>
          <w:u w:val="none"/>
        </w:rPr>
      </w:pPr>
    </w:p>
    <w:p w14:paraId="459BCC31">
      <w:pPr>
        <w:jc w:val="center"/>
        <w:rPr>
          <w:rFonts w:ascii="微软雅黑" w:hAnsi="微软雅黑" w:eastAsia="微软雅黑"/>
          <w:sz w:val="32"/>
          <w:szCs w:val="32"/>
          <w:highlight w:val="none"/>
          <w:u w:val="none"/>
        </w:rPr>
      </w:pPr>
      <w:r>
        <w:rPr>
          <w:rFonts w:hint="eastAsia" w:ascii="微软雅黑" w:hAnsi="微软雅黑" w:eastAsia="微软雅黑"/>
          <w:sz w:val="32"/>
          <w:szCs w:val="32"/>
          <w:highlight w:val="none"/>
          <w:u w:val="none"/>
        </w:rPr>
        <w:t>采购产品质量保证与服务协议</w:t>
      </w:r>
    </w:p>
    <w:p w14:paraId="11549C2D">
      <w:pPr>
        <w:ind w:firstLine="560" w:firstLineChars="200"/>
        <w:jc w:val="left"/>
        <w:rPr>
          <w:rFonts w:ascii="仿宋" w:hAnsi="仿宋" w:eastAsia="仿宋" w:cs="Times New Roman"/>
          <w:sz w:val="28"/>
          <w:szCs w:val="28"/>
          <w:highlight w:val="none"/>
          <w:u w:val="none"/>
        </w:rPr>
      </w:pPr>
      <w:r>
        <w:rPr>
          <w:rFonts w:hint="eastAsia" w:ascii="仿宋" w:hAnsi="仿宋" w:eastAsia="仿宋" w:cs="Times New Roman"/>
          <w:sz w:val="28"/>
          <w:szCs w:val="28"/>
          <w:highlight w:val="none"/>
          <w:u w:val="none"/>
        </w:rPr>
        <w:t>甲方：中国重汽集团济南动力有限公司</w:t>
      </w:r>
    </w:p>
    <w:p w14:paraId="6C4CDB74">
      <w:pPr>
        <w:ind w:firstLine="560" w:firstLineChars="200"/>
        <w:jc w:val="left"/>
        <w:rPr>
          <w:rFonts w:ascii="仿宋" w:hAnsi="仿宋" w:eastAsia="仿宋" w:cs="Times New Roman"/>
          <w:sz w:val="28"/>
          <w:szCs w:val="28"/>
          <w:highlight w:val="none"/>
          <w:u w:val="none"/>
        </w:rPr>
      </w:pPr>
      <w:r>
        <w:rPr>
          <w:rFonts w:hint="eastAsia" w:ascii="仿宋" w:hAnsi="仿宋" w:eastAsia="仿宋" w:cs="Times New Roman"/>
          <w:sz w:val="28"/>
          <w:szCs w:val="28"/>
          <w:highlight w:val="none"/>
          <w:u w:val="none"/>
        </w:rPr>
        <w:t>乙方：【供应商】</w:t>
      </w:r>
    </w:p>
    <w:p w14:paraId="6D3FF259">
      <w:pPr>
        <w:ind w:firstLine="480" w:firstLineChars="200"/>
        <w:jc w:val="left"/>
        <w:rPr>
          <w:rFonts w:ascii="仿宋" w:hAnsi="仿宋" w:eastAsia="仿宋" w:cs="Times New Roman"/>
          <w:sz w:val="24"/>
          <w:szCs w:val="24"/>
          <w:highlight w:val="none"/>
          <w:u w:val="none"/>
        </w:rPr>
      </w:pPr>
      <w:r>
        <w:rPr>
          <w:rFonts w:hint="eastAsia" w:ascii="仿宋" w:hAnsi="仿宋" w:eastAsia="仿宋" w:cs="Times New Roman"/>
          <w:sz w:val="24"/>
          <w:szCs w:val="24"/>
          <w:highlight w:val="none"/>
          <w:u w:val="none"/>
        </w:rPr>
        <w:t>为保持产品质量的稳定与持续提升，明确产品质量的责任与义务，甲、乙双方经友好协商，签订《采购产品质量保证与服务协议》（以下简称“本协议”）以资共同遵守。</w:t>
      </w:r>
    </w:p>
    <w:p w14:paraId="7B0D11AE">
      <w:pPr>
        <w:ind w:firstLine="482" w:firstLineChars="200"/>
        <w:jc w:val="left"/>
        <w:rPr>
          <w:rFonts w:ascii="仿宋" w:hAnsi="仿宋" w:eastAsia="仿宋" w:cs="Times New Roman"/>
          <w:b/>
          <w:sz w:val="24"/>
          <w:szCs w:val="24"/>
          <w:highlight w:val="none"/>
          <w:u w:val="none"/>
        </w:rPr>
      </w:pPr>
      <w:r>
        <w:rPr>
          <w:rFonts w:hint="eastAsia" w:ascii="仿宋" w:hAnsi="仿宋" w:eastAsia="仿宋" w:cs="Times New Roman"/>
          <w:b/>
          <w:sz w:val="24"/>
          <w:szCs w:val="24"/>
          <w:highlight w:val="none"/>
          <w:u w:val="none"/>
        </w:rPr>
        <w:t>1．协议适用范围</w:t>
      </w:r>
    </w:p>
    <w:p w14:paraId="4BC42177">
      <w:pPr>
        <w:ind w:firstLine="480" w:firstLineChars="200"/>
        <w:jc w:val="left"/>
        <w:rPr>
          <w:rFonts w:ascii="仿宋" w:hAnsi="仿宋" w:eastAsia="仿宋" w:cs="Times New Roman"/>
          <w:sz w:val="24"/>
          <w:szCs w:val="24"/>
          <w:highlight w:val="none"/>
          <w:u w:val="none"/>
        </w:rPr>
      </w:pPr>
      <w:r>
        <w:rPr>
          <w:rFonts w:hint="eastAsia" w:ascii="仿宋" w:hAnsi="仿宋" w:eastAsia="仿宋" w:cs="Times New Roman"/>
          <w:sz w:val="24"/>
          <w:szCs w:val="24"/>
          <w:highlight w:val="none"/>
          <w:u w:val="none"/>
        </w:rPr>
        <w:t>本协议所指产品，是指甲方从乙方采购用于甲方生产</w:t>
      </w:r>
      <w:r>
        <w:rPr>
          <w:rFonts w:hint="eastAsia" w:ascii="仿宋" w:hAnsi="仿宋" w:eastAsia="仿宋" w:cs="Times New Roman"/>
          <w:color w:val="auto"/>
          <w:sz w:val="24"/>
          <w:szCs w:val="24"/>
          <w:highlight w:val="none"/>
          <w:u w:val="single"/>
          <w:lang w:val="en-US" w:eastAsia="zh-CN"/>
        </w:rPr>
        <w:t>的工装、夹具及其备件</w:t>
      </w:r>
      <w:r>
        <w:rPr>
          <w:rFonts w:hint="eastAsia" w:ascii="仿宋" w:hAnsi="仿宋" w:eastAsia="仿宋" w:cs="Times New Roman"/>
          <w:sz w:val="24"/>
          <w:szCs w:val="24"/>
          <w:highlight w:val="none"/>
          <w:u w:val="none"/>
        </w:rPr>
        <w:t>。</w:t>
      </w:r>
    </w:p>
    <w:p w14:paraId="3BE564F6">
      <w:pPr>
        <w:ind w:firstLine="482" w:firstLineChars="200"/>
        <w:jc w:val="left"/>
        <w:rPr>
          <w:rFonts w:ascii="仿宋" w:hAnsi="仿宋" w:eastAsia="仿宋" w:cs="Times New Roman"/>
          <w:b/>
          <w:sz w:val="24"/>
          <w:szCs w:val="24"/>
          <w:highlight w:val="none"/>
          <w:u w:val="none"/>
        </w:rPr>
      </w:pPr>
      <w:r>
        <w:rPr>
          <w:rFonts w:hint="eastAsia" w:ascii="仿宋" w:hAnsi="仿宋" w:eastAsia="仿宋" w:cs="Times New Roman"/>
          <w:b/>
          <w:sz w:val="24"/>
          <w:szCs w:val="24"/>
          <w:highlight w:val="none"/>
          <w:u w:val="none"/>
        </w:rPr>
        <w:t>2．管理职责</w:t>
      </w:r>
    </w:p>
    <w:p w14:paraId="3AB94756">
      <w:pPr>
        <w:ind w:firstLine="480" w:firstLineChars="200"/>
        <w:jc w:val="left"/>
        <w:rPr>
          <w:rFonts w:ascii="仿宋" w:hAnsi="仿宋" w:eastAsia="仿宋" w:cs="Times New Roman"/>
          <w:sz w:val="24"/>
          <w:szCs w:val="24"/>
          <w:highlight w:val="none"/>
          <w:u w:val="none"/>
        </w:rPr>
      </w:pPr>
      <w:r>
        <w:rPr>
          <w:rFonts w:hint="eastAsia" w:ascii="仿宋" w:hAnsi="仿宋" w:eastAsia="仿宋" w:cs="Times New Roman"/>
          <w:sz w:val="24"/>
          <w:szCs w:val="24"/>
          <w:highlight w:val="none"/>
          <w:u w:val="none"/>
        </w:rPr>
        <w:t>2.1 甲方职责</w:t>
      </w:r>
    </w:p>
    <w:p w14:paraId="41D27E61">
      <w:pPr>
        <w:tabs>
          <w:tab w:val="left" w:pos="0"/>
        </w:tabs>
        <w:ind w:firstLine="480" w:firstLineChars="200"/>
        <w:rPr>
          <w:rFonts w:ascii="仿宋" w:hAnsi="仿宋" w:eastAsia="仿宋"/>
          <w:sz w:val="24"/>
          <w:szCs w:val="24"/>
          <w:highlight w:val="none"/>
          <w:u w:val="none"/>
        </w:rPr>
      </w:pPr>
      <w:r>
        <w:rPr>
          <w:rFonts w:hint="eastAsia" w:ascii="仿宋" w:hAnsi="仿宋" w:eastAsia="仿宋"/>
          <w:sz w:val="24"/>
          <w:szCs w:val="24"/>
          <w:highlight w:val="none"/>
          <w:u w:val="none"/>
        </w:rPr>
        <w:t>2.1.1甲方应向乙方明确提出技术和质量要求。当甲方变更技术和/或质量要求时，应及时通知乙方。</w:t>
      </w:r>
    </w:p>
    <w:p w14:paraId="2C7C0B40">
      <w:pPr>
        <w:tabs>
          <w:tab w:val="left" w:pos="0"/>
        </w:tabs>
        <w:ind w:firstLine="480" w:firstLineChars="200"/>
        <w:rPr>
          <w:rFonts w:ascii="仿宋" w:hAnsi="仿宋" w:eastAsia="仿宋"/>
          <w:sz w:val="24"/>
          <w:szCs w:val="24"/>
          <w:highlight w:val="none"/>
          <w:u w:val="none"/>
        </w:rPr>
      </w:pPr>
      <w:r>
        <w:rPr>
          <w:rFonts w:hint="eastAsia" w:ascii="仿宋" w:hAnsi="仿宋" w:eastAsia="仿宋"/>
          <w:sz w:val="24"/>
          <w:szCs w:val="24"/>
          <w:highlight w:val="none"/>
          <w:u w:val="none"/>
        </w:rPr>
        <w:t>2.1.</w:t>
      </w:r>
      <w:r>
        <w:rPr>
          <w:rFonts w:ascii="仿宋" w:hAnsi="仿宋" w:eastAsia="仿宋"/>
          <w:sz w:val="24"/>
          <w:szCs w:val="24"/>
          <w:highlight w:val="none"/>
          <w:u w:val="none"/>
        </w:rPr>
        <w:t>2</w:t>
      </w:r>
      <w:r>
        <w:rPr>
          <w:rFonts w:hint="eastAsia" w:ascii="仿宋" w:hAnsi="仿宋" w:eastAsia="仿宋"/>
          <w:sz w:val="24"/>
          <w:szCs w:val="24"/>
          <w:highlight w:val="none"/>
          <w:u w:val="none"/>
        </w:rPr>
        <w:t>甲方应及时向乙方反馈其所提供产品存在的质量问题（包括因包装不良导致），并负责向乙方提供不合格品资料及质量信息。</w:t>
      </w:r>
    </w:p>
    <w:p w14:paraId="50E9E62A">
      <w:pPr>
        <w:tabs>
          <w:tab w:val="left" w:pos="0"/>
        </w:tabs>
        <w:ind w:firstLine="480" w:firstLineChars="200"/>
        <w:rPr>
          <w:rFonts w:ascii="仿宋" w:hAnsi="仿宋" w:eastAsia="仿宋"/>
          <w:sz w:val="24"/>
          <w:szCs w:val="24"/>
          <w:highlight w:val="none"/>
          <w:u w:val="none"/>
        </w:rPr>
      </w:pPr>
      <w:r>
        <w:rPr>
          <w:rFonts w:hint="eastAsia" w:ascii="仿宋" w:hAnsi="仿宋" w:eastAsia="仿宋"/>
          <w:sz w:val="24"/>
          <w:szCs w:val="24"/>
          <w:highlight w:val="none"/>
          <w:u w:val="none"/>
        </w:rPr>
        <w:t>2.1.</w:t>
      </w:r>
      <w:r>
        <w:rPr>
          <w:rFonts w:ascii="仿宋" w:hAnsi="仿宋" w:eastAsia="仿宋"/>
          <w:sz w:val="24"/>
          <w:szCs w:val="24"/>
          <w:highlight w:val="none"/>
          <w:u w:val="none"/>
        </w:rPr>
        <w:t>3</w:t>
      </w:r>
      <w:r>
        <w:rPr>
          <w:rFonts w:hint="eastAsia" w:ascii="仿宋" w:hAnsi="仿宋" w:eastAsia="仿宋"/>
          <w:sz w:val="24"/>
          <w:szCs w:val="24"/>
          <w:highlight w:val="none"/>
          <w:u w:val="none"/>
        </w:rPr>
        <w:t>甲方负责验证乙方相关质量改进的有效性，客户有要求或必要时直接到乙方现场进行产品验证。</w:t>
      </w:r>
    </w:p>
    <w:p w14:paraId="486EBD6E">
      <w:pPr>
        <w:tabs>
          <w:tab w:val="left" w:pos="0"/>
        </w:tabs>
        <w:ind w:firstLine="480" w:firstLineChars="200"/>
        <w:rPr>
          <w:rFonts w:ascii="仿宋" w:hAnsi="仿宋" w:eastAsia="仿宋"/>
          <w:sz w:val="24"/>
          <w:szCs w:val="24"/>
          <w:highlight w:val="none"/>
          <w:u w:val="none"/>
        </w:rPr>
      </w:pPr>
      <w:r>
        <w:rPr>
          <w:rFonts w:hint="eastAsia" w:ascii="仿宋" w:hAnsi="仿宋" w:eastAsia="仿宋"/>
          <w:sz w:val="24"/>
          <w:szCs w:val="24"/>
          <w:highlight w:val="none"/>
          <w:u w:val="none"/>
        </w:rPr>
        <w:t>2.1.</w:t>
      </w:r>
      <w:r>
        <w:rPr>
          <w:rFonts w:ascii="仿宋" w:hAnsi="仿宋" w:eastAsia="仿宋"/>
          <w:sz w:val="24"/>
          <w:szCs w:val="24"/>
          <w:highlight w:val="none"/>
          <w:u w:val="none"/>
        </w:rPr>
        <w:t>4</w:t>
      </w:r>
      <w:r>
        <w:rPr>
          <w:rFonts w:hint="eastAsia" w:ascii="仿宋" w:hAnsi="仿宋" w:eastAsia="仿宋"/>
          <w:sz w:val="24"/>
          <w:szCs w:val="24"/>
          <w:highlight w:val="none"/>
          <w:u w:val="none"/>
        </w:rPr>
        <w:t>甲方按计划或根据需要不定期的对乙方质量保证能力等方面进行审核。</w:t>
      </w:r>
    </w:p>
    <w:p w14:paraId="2BEA9DD0">
      <w:pPr>
        <w:tabs>
          <w:tab w:val="left" w:pos="0"/>
        </w:tabs>
        <w:ind w:firstLine="480" w:firstLineChars="200"/>
        <w:rPr>
          <w:rFonts w:ascii="仿宋" w:hAnsi="仿宋" w:eastAsia="仿宋"/>
          <w:sz w:val="24"/>
          <w:szCs w:val="24"/>
          <w:highlight w:val="none"/>
          <w:u w:val="none"/>
        </w:rPr>
      </w:pPr>
      <w:r>
        <w:rPr>
          <w:rFonts w:hint="eastAsia" w:ascii="仿宋" w:hAnsi="仿宋" w:eastAsia="仿宋"/>
          <w:sz w:val="24"/>
          <w:szCs w:val="24"/>
          <w:highlight w:val="none"/>
          <w:u w:val="none"/>
        </w:rPr>
        <w:t>2.1.</w:t>
      </w:r>
      <w:r>
        <w:rPr>
          <w:rFonts w:ascii="仿宋" w:hAnsi="仿宋" w:eastAsia="仿宋"/>
          <w:sz w:val="24"/>
          <w:szCs w:val="24"/>
          <w:highlight w:val="none"/>
          <w:u w:val="none"/>
        </w:rPr>
        <w:t>5</w:t>
      </w:r>
      <w:r>
        <w:rPr>
          <w:rFonts w:hint="eastAsia" w:ascii="仿宋" w:hAnsi="仿宋" w:eastAsia="仿宋"/>
          <w:sz w:val="24"/>
          <w:szCs w:val="24"/>
        </w:rPr>
        <w:t>甲方应提出从乙方采购产品的检验技术标准，若采用乙方检验标准时乙方应在甲方备案，并经甲方认可，必要时对双方的检验方法进行统一。对于甲方要求检测而乙方又不具备检验能力的产品及项目，乙方应选择甲方认可的第三方检测机构检测。第三方检测产生的费用由乙方承担。甲方可视检验情况对检验项目和周期进行调整。</w:t>
      </w:r>
    </w:p>
    <w:p w14:paraId="31779CF0">
      <w:pPr>
        <w:pStyle w:val="113"/>
        <w:ind w:firstLine="480" w:firstLineChars="200"/>
        <w:rPr>
          <w:rFonts w:ascii="仿宋" w:hAnsi="仿宋" w:eastAsia="仿宋" w:cs="Times New Roman"/>
          <w:color w:val="auto"/>
          <w:kern w:val="2"/>
          <w:sz w:val="24"/>
          <w:szCs w:val="24"/>
          <w:highlight w:val="none"/>
          <w:u w:val="none"/>
        </w:rPr>
      </w:pPr>
      <w:r>
        <w:rPr>
          <w:rFonts w:hint="eastAsia" w:ascii="仿宋" w:hAnsi="仿宋" w:eastAsia="仿宋" w:cs="Times New Roman"/>
          <w:color w:val="auto"/>
          <w:kern w:val="2"/>
          <w:sz w:val="24"/>
          <w:szCs w:val="24"/>
          <w:highlight w:val="none"/>
          <w:u w:val="none"/>
        </w:rPr>
        <w:t>2.1.6停用：乙方工装在检验及用户的使用过程中，出现下列情况时，应立即暂停供货。</w:t>
      </w:r>
    </w:p>
    <w:p w14:paraId="4BB87C4E">
      <w:pPr>
        <w:pStyle w:val="113"/>
        <w:ind w:firstLine="480" w:firstLineChars="200"/>
        <w:rPr>
          <w:rFonts w:ascii="仿宋" w:hAnsi="仿宋" w:eastAsia="仿宋" w:cs="Times New Roman"/>
          <w:color w:val="auto"/>
          <w:kern w:val="2"/>
          <w:sz w:val="24"/>
          <w:szCs w:val="24"/>
          <w:highlight w:val="none"/>
          <w:u w:val="none"/>
        </w:rPr>
      </w:pPr>
      <w:r>
        <w:rPr>
          <w:rFonts w:hint="eastAsia" w:ascii="仿宋" w:hAnsi="仿宋" w:eastAsia="仿宋" w:cs="Times New Roman"/>
          <w:color w:val="auto"/>
          <w:kern w:val="2"/>
          <w:sz w:val="24"/>
          <w:szCs w:val="24"/>
          <w:highlight w:val="none"/>
          <w:u w:val="none"/>
        </w:rPr>
        <w:t>a.乙方工装进厂检验连续出现三次以上不合格情况；</w:t>
      </w:r>
    </w:p>
    <w:p w14:paraId="4FCEDCAF">
      <w:pPr>
        <w:pStyle w:val="113"/>
        <w:ind w:firstLine="480" w:firstLineChars="200"/>
        <w:rPr>
          <w:rFonts w:ascii="仿宋" w:hAnsi="仿宋" w:eastAsia="仿宋" w:cs="Times New Roman"/>
          <w:color w:val="auto"/>
          <w:kern w:val="2"/>
          <w:sz w:val="24"/>
          <w:szCs w:val="24"/>
          <w:highlight w:val="none"/>
          <w:u w:val="none"/>
        </w:rPr>
      </w:pPr>
      <w:r>
        <w:rPr>
          <w:rFonts w:hint="eastAsia" w:ascii="仿宋" w:hAnsi="仿宋" w:eastAsia="仿宋" w:cs="Times New Roman"/>
          <w:color w:val="auto"/>
          <w:kern w:val="2"/>
          <w:sz w:val="24"/>
          <w:szCs w:val="24"/>
          <w:highlight w:val="none"/>
          <w:u w:val="none"/>
        </w:rPr>
        <w:t>b.乙方工装在使用过程中造成甲方批量性质量问题时。</w:t>
      </w:r>
    </w:p>
    <w:p w14:paraId="39FA484D">
      <w:pPr>
        <w:pStyle w:val="113"/>
        <w:ind w:firstLine="480" w:firstLineChars="200"/>
        <w:rPr>
          <w:rFonts w:ascii="仿宋" w:hAnsi="仿宋" w:eastAsia="仿宋" w:cs="Times New Roman"/>
          <w:color w:val="auto"/>
          <w:kern w:val="2"/>
          <w:sz w:val="24"/>
          <w:szCs w:val="24"/>
          <w:highlight w:val="none"/>
          <w:u w:val="none"/>
        </w:rPr>
      </w:pPr>
      <w:r>
        <w:rPr>
          <w:rFonts w:hint="eastAsia" w:ascii="仿宋" w:hAnsi="仿宋" w:eastAsia="仿宋" w:cs="Times New Roman"/>
          <w:color w:val="auto"/>
          <w:kern w:val="2"/>
          <w:sz w:val="24"/>
          <w:szCs w:val="24"/>
          <w:highlight w:val="none"/>
          <w:u w:val="none"/>
        </w:rPr>
        <w:t>c.乙方工装使用中连续三次出现达不到定额时</w:t>
      </w:r>
    </w:p>
    <w:p w14:paraId="5546E4FC">
      <w:pPr>
        <w:pStyle w:val="113"/>
        <w:ind w:firstLine="480" w:firstLineChars="200"/>
        <w:rPr>
          <w:rFonts w:ascii="仿宋" w:hAnsi="仿宋" w:eastAsia="仿宋" w:cs="Times New Roman"/>
          <w:color w:val="auto"/>
          <w:kern w:val="2"/>
          <w:sz w:val="24"/>
          <w:szCs w:val="24"/>
          <w:highlight w:val="none"/>
          <w:u w:val="none"/>
        </w:rPr>
      </w:pPr>
      <w:r>
        <w:rPr>
          <w:rFonts w:hint="eastAsia" w:ascii="仿宋" w:hAnsi="仿宋" w:eastAsia="仿宋" w:cs="Times New Roman"/>
          <w:color w:val="auto"/>
          <w:kern w:val="2"/>
          <w:sz w:val="24"/>
          <w:szCs w:val="24"/>
          <w:highlight w:val="none"/>
          <w:u w:val="none"/>
        </w:rPr>
        <w:t>2.1.7启用：乙方工装一旦被停用，原则上应</w:t>
      </w:r>
      <w:r>
        <w:rPr>
          <w:rFonts w:hint="eastAsia" w:ascii="仿宋" w:hAnsi="仿宋" w:eastAsia="仿宋" w:cs="Times New Roman"/>
          <w:color w:val="auto"/>
          <w:kern w:val="2"/>
          <w:sz w:val="24"/>
          <w:szCs w:val="24"/>
          <w:highlight w:val="none"/>
          <w:u w:val="none"/>
          <w:lang w:val="en-US" w:eastAsia="zh-CN"/>
        </w:rPr>
        <w:t>同时</w:t>
      </w:r>
      <w:r>
        <w:rPr>
          <w:rFonts w:hint="eastAsia" w:ascii="仿宋" w:hAnsi="仿宋" w:eastAsia="仿宋" w:cs="Times New Roman"/>
          <w:color w:val="auto"/>
          <w:kern w:val="2"/>
          <w:sz w:val="24"/>
          <w:szCs w:val="24"/>
          <w:highlight w:val="none"/>
          <w:u w:val="none"/>
        </w:rPr>
        <w:t>完成以下事项后，方可启用。</w:t>
      </w:r>
    </w:p>
    <w:p w14:paraId="522A8F2D">
      <w:pPr>
        <w:pStyle w:val="113"/>
        <w:ind w:firstLine="480" w:firstLineChars="200"/>
        <w:rPr>
          <w:rFonts w:ascii="仿宋" w:hAnsi="仿宋" w:eastAsia="仿宋" w:cs="Times New Roman"/>
          <w:color w:val="auto"/>
          <w:kern w:val="2"/>
          <w:sz w:val="24"/>
          <w:szCs w:val="24"/>
          <w:highlight w:val="none"/>
          <w:u w:val="none"/>
        </w:rPr>
      </w:pPr>
      <w:r>
        <w:rPr>
          <w:rFonts w:hint="eastAsia" w:ascii="仿宋" w:hAnsi="仿宋" w:eastAsia="仿宋" w:cs="Times New Roman"/>
          <w:color w:val="auto"/>
          <w:kern w:val="2"/>
          <w:sz w:val="24"/>
          <w:szCs w:val="24"/>
          <w:highlight w:val="none"/>
          <w:u w:val="none"/>
        </w:rPr>
        <w:t>a.工装全部更改为合格工装。</w:t>
      </w:r>
    </w:p>
    <w:p w14:paraId="1EABFC78">
      <w:pPr>
        <w:pStyle w:val="113"/>
        <w:ind w:firstLine="480" w:firstLineChars="200"/>
        <w:rPr>
          <w:rFonts w:ascii="仿宋" w:hAnsi="仿宋" w:eastAsia="仿宋" w:cs="Times New Roman"/>
          <w:color w:val="auto"/>
          <w:kern w:val="2"/>
          <w:sz w:val="24"/>
          <w:szCs w:val="24"/>
          <w:highlight w:val="none"/>
          <w:u w:val="none"/>
        </w:rPr>
      </w:pPr>
      <w:r>
        <w:rPr>
          <w:rFonts w:hint="eastAsia" w:ascii="仿宋" w:hAnsi="仿宋" w:eastAsia="仿宋" w:cs="Times New Roman"/>
          <w:color w:val="auto"/>
          <w:kern w:val="2"/>
          <w:sz w:val="24"/>
          <w:szCs w:val="24"/>
          <w:highlight w:val="none"/>
          <w:u w:val="none"/>
        </w:rPr>
        <w:t>b.经过甲方组织的二方审核，确定质量保证能力能够满足要求。</w:t>
      </w:r>
    </w:p>
    <w:p w14:paraId="1D9F53FB">
      <w:pPr>
        <w:pStyle w:val="113"/>
        <w:ind w:firstLine="480" w:firstLineChars="200"/>
        <w:rPr>
          <w:rFonts w:ascii="仿宋" w:hAnsi="仿宋" w:eastAsia="仿宋" w:cs="Times New Roman"/>
          <w:color w:val="0000FF"/>
          <w:kern w:val="2"/>
          <w:sz w:val="24"/>
          <w:szCs w:val="24"/>
          <w:highlight w:val="none"/>
          <w:u w:val="none"/>
        </w:rPr>
      </w:pPr>
      <w:r>
        <w:rPr>
          <w:rFonts w:hint="eastAsia" w:ascii="仿宋" w:hAnsi="仿宋" w:eastAsia="仿宋" w:cs="Times New Roman"/>
          <w:color w:val="auto"/>
          <w:kern w:val="2"/>
          <w:sz w:val="24"/>
          <w:szCs w:val="24"/>
          <w:highlight w:val="none"/>
          <w:u w:val="none"/>
        </w:rPr>
        <w:t>c.对工装质量做出书面承诺并承担甲方的损失。</w:t>
      </w:r>
    </w:p>
    <w:p w14:paraId="1942CC53">
      <w:pPr>
        <w:ind w:firstLine="480" w:firstLineChars="200"/>
        <w:jc w:val="left"/>
        <w:rPr>
          <w:rFonts w:ascii="仿宋" w:hAnsi="仿宋" w:eastAsia="仿宋" w:cs="Times New Roman"/>
          <w:sz w:val="24"/>
          <w:szCs w:val="24"/>
          <w:highlight w:val="none"/>
          <w:u w:val="none"/>
        </w:rPr>
      </w:pPr>
      <w:r>
        <w:rPr>
          <w:rFonts w:hint="eastAsia" w:ascii="仿宋" w:hAnsi="仿宋" w:eastAsia="仿宋" w:cs="Times New Roman"/>
          <w:sz w:val="24"/>
          <w:szCs w:val="24"/>
          <w:highlight w:val="none"/>
          <w:u w:val="none"/>
        </w:rPr>
        <w:t>2.2乙方职责</w:t>
      </w:r>
    </w:p>
    <w:p w14:paraId="3D85551D">
      <w:pPr>
        <w:tabs>
          <w:tab w:val="left" w:pos="0"/>
        </w:tabs>
        <w:ind w:firstLine="480" w:firstLineChars="200"/>
        <w:rPr>
          <w:rFonts w:ascii="仿宋" w:hAnsi="仿宋" w:eastAsia="仿宋"/>
          <w:sz w:val="24"/>
          <w:szCs w:val="24"/>
          <w:highlight w:val="none"/>
          <w:u w:val="none"/>
        </w:rPr>
      </w:pPr>
      <w:r>
        <w:rPr>
          <w:rFonts w:hint="eastAsia" w:ascii="仿宋" w:hAnsi="仿宋" w:eastAsia="仿宋"/>
          <w:sz w:val="24"/>
          <w:szCs w:val="24"/>
          <w:highlight w:val="none"/>
          <w:u w:val="none"/>
        </w:rPr>
        <w:t>2.2.1乙方应按照IATF16949或ISO9001标准以及甲方要求建立、健全和持续改进质量管理体系，取得认证证书，以确保向甲方长期稳定地提供合格产品；并及时将证书有效版本提交至甲方采购部门备案。</w:t>
      </w:r>
    </w:p>
    <w:p w14:paraId="43B4AD45">
      <w:pPr>
        <w:ind w:firstLine="480" w:firstLineChars="200"/>
        <w:jc w:val="left"/>
        <w:rPr>
          <w:rFonts w:ascii="仿宋" w:hAnsi="仿宋" w:eastAsia="仿宋" w:cs="Times New Roman"/>
          <w:sz w:val="24"/>
          <w:szCs w:val="24"/>
          <w:highlight w:val="none"/>
          <w:u w:val="none"/>
        </w:rPr>
      </w:pPr>
      <w:r>
        <w:rPr>
          <w:rFonts w:hint="eastAsia" w:ascii="仿宋" w:hAnsi="仿宋" w:eastAsia="仿宋" w:cs="Times New Roman"/>
          <w:sz w:val="24"/>
          <w:szCs w:val="24"/>
          <w:highlight w:val="none"/>
          <w:u w:val="none"/>
        </w:rPr>
        <w:t>2.2.</w:t>
      </w:r>
      <w:r>
        <w:rPr>
          <w:rFonts w:ascii="仿宋" w:hAnsi="仿宋" w:eastAsia="仿宋" w:cs="Times New Roman"/>
          <w:sz w:val="24"/>
          <w:szCs w:val="24"/>
          <w:highlight w:val="none"/>
          <w:u w:val="none"/>
        </w:rPr>
        <w:t>2</w:t>
      </w:r>
      <w:r>
        <w:rPr>
          <w:rFonts w:hint="eastAsia" w:ascii="仿宋" w:hAnsi="仿宋" w:eastAsia="仿宋" w:cs="Times New Roman"/>
          <w:sz w:val="24"/>
          <w:szCs w:val="24"/>
          <w:u w:val="none"/>
        </w:rPr>
        <w:t>对于国家准入或出口目的国要求的法规件，乙方产品应满足法规要求。对于强制性认证的产品或双方确认由乙方负责取得出口认证的产品，乙方负责取得认证证书并报甲方备案，乙方应保证供货期间认证证书持续有效，并应在认证证书到期前2个月告知甲方；乙方认证证书（被）暂停或撤销或注销的，乙方证书应在暂停或撤销或注销1个工作日内告知甲方。</w:t>
      </w:r>
    </w:p>
    <w:p w14:paraId="74C6C8ED">
      <w:pPr>
        <w:tabs>
          <w:tab w:val="left" w:pos="0"/>
        </w:tabs>
        <w:ind w:firstLine="480" w:firstLineChars="200"/>
        <w:rPr>
          <w:rFonts w:hint="eastAsia" w:ascii="仿宋" w:hAnsi="仿宋" w:eastAsia="仿宋"/>
          <w:sz w:val="24"/>
          <w:szCs w:val="24"/>
          <w:u w:val="none"/>
        </w:rPr>
      </w:pPr>
      <w:r>
        <w:rPr>
          <w:rFonts w:hint="eastAsia" w:ascii="仿宋" w:hAnsi="仿宋" w:eastAsia="仿宋"/>
          <w:sz w:val="24"/>
          <w:szCs w:val="24"/>
          <w:highlight w:val="none"/>
          <w:u w:val="none"/>
        </w:rPr>
        <w:t>2.2.</w:t>
      </w:r>
      <w:r>
        <w:rPr>
          <w:rFonts w:ascii="仿宋" w:hAnsi="仿宋" w:eastAsia="仿宋"/>
          <w:sz w:val="24"/>
          <w:szCs w:val="24"/>
          <w:highlight w:val="none"/>
          <w:u w:val="none"/>
        </w:rPr>
        <w:t>3</w:t>
      </w:r>
      <w:r>
        <w:rPr>
          <w:rFonts w:hint="eastAsia" w:ascii="仿宋" w:hAnsi="仿宋" w:eastAsia="仿宋"/>
          <w:sz w:val="24"/>
          <w:szCs w:val="24"/>
          <w:u w:val="none"/>
        </w:rPr>
        <w:t>乙方应对其产品的特殊过程按GB/T19001-2016/ISO9001:2015等质量标准要求进行过程确认，将确认、控制和过程能力的相关资料定期提交甲方采购部门。</w:t>
      </w:r>
    </w:p>
    <w:p w14:paraId="11B17F3F">
      <w:pPr>
        <w:tabs>
          <w:tab w:val="left" w:pos="0"/>
        </w:tabs>
        <w:ind w:firstLine="480" w:firstLineChars="200"/>
        <w:rPr>
          <w:rFonts w:ascii="仿宋" w:hAnsi="仿宋" w:eastAsia="仿宋"/>
          <w:sz w:val="24"/>
          <w:szCs w:val="24"/>
          <w:highlight w:val="none"/>
          <w:u w:val="none"/>
        </w:rPr>
      </w:pPr>
      <w:r>
        <w:rPr>
          <w:rFonts w:hint="eastAsia" w:ascii="仿宋" w:hAnsi="仿宋" w:eastAsia="仿宋"/>
          <w:sz w:val="24"/>
          <w:szCs w:val="24"/>
          <w:highlight w:val="none"/>
          <w:u w:val="none"/>
        </w:rPr>
        <w:t>2.2.</w:t>
      </w:r>
      <w:r>
        <w:rPr>
          <w:rFonts w:ascii="仿宋" w:hAnsi="仿宋" w:eastAsia="仿宋"/>
          <w:sz w:val="24"/>
          <w:szCs w:val="24"/>
          <w:highlight w:val="none"/>
          <w:u w:val="none"/>
        </w:rPr>
        <w:t>4</w:t>
      </w:r>
      <w:r>
        <w:rPr>
          <w:rFonts w:hint="eastAsia" w:ascii="仿宋" w:hAnsi="仿宋" w:eastAsia="仿宋"/>
          <w:color w:val="auto"/>
          <w:sz w:val="24"/>
          <w:szCs w:val="24"/>
          <w:highlight w:val="none"/>
          <w:u w:val="none"/>
        </w:rPr>
        <w:t>当客户或甲方到乙方</w:t>
      </w:r>
      <w:r>
        <w:rPr>
          <w:rFonts w:hint="eastAsia" w:ascii="仿宋" w:hAnsi="仿宋" w:eastAsia="仿宋"/>
          <w:color w:val="auto"/>
          <w:sz w:val="24"/>
          <w:szCs w:val="24"/>
          <w:highlight w:val="none"/>
          <w:u w:val="none"/>
          <w:lang w:val="en-US" w:eastAsia="zh-CN"/>
        </w:rPr>
        <w:t>现场</w:t>
      </w:r>
      <w:r>
        <w:rPr>
          <w:rFonts w:hint="eastAsia" w:ascii="仿宋" w:hAnsi="仿宋" w:eastAsia="仿宋"/>
          <w:color w:val="auto"/>
          <w:sz w:val="24"/>
          <w:szCs w:val="24"/>
          <w:highlight w:val="none"/>
          <w:u w:val="none"/>
        </w:rPr>
        <w:t>进行产品验证时，乙方应积极配合，但验证的结论不作为乙方交付</w:t>
      </w:r>
      <w:r>
        <w:rPr>
          <w:rFonts w:hint="eastAsia" w:ascii="仿宋" w:hAnsi="仿宋" w:eastAsia="仿宋"/>
          <w:color w:val="auto"/>
          <w:sz w:val="24"/>
          <w:szCs w:val="24"/>
          <w:highlight w:val="none"/>
          <w:u w:val="none"/>
          <w:lang w:val="en-US" w:eastAsia="zh-CN"/>
        </w:rPr>
        <w:t>时，甲方的验收</w:t>
      </w:r>
      <w:r>
        <w:rPr>
          <w:rFonts w:hint="eastAsia" w:ascii="仿宋" w:hAnsi="仿宋" w:eastAsia="仿宋"/>
          <w:color w:val="auto"/>
          <w:sz w:val="24"/>
          <w:szCs w:val="24"/>
          <w:highlight w:val="none"/>
          <w:u w:val="none"/>
        </w:rPr>
        <w:t>依据。</w:t>
      </w:r>
    </w:p>
    <w:p w14:paraId="537AF30B">
      <w:pPr>
        <w:tabs>
          <w:tab w:val="left" w:pos="0"/>
        </w:tabs>
        <w:ind w:firstLine="480" w:firstLineChars="200"/>
        <w:rPr>
          <w:rFonts w:ascii="仿宋" w:hAnsi="仿宋" w:eastAsia="仿宋"/>
          <w:sz w:val="24"/>
          <w:szCs w:val="24"/>
          <w:highlight w:val="none"/>
          <w:u w:val="none"/>
        </w:rPr>
      </w:pPr>
      <w:r>
        <w:rPr>
          <w:rFonts w:hint="eastAsia" w:ascii="仿宋" w:hAnsi="仿宋" w:eastAsia="仿宋" w:cs="Times New Roman"/>
          <w:sz w:val="24"/>
          <w:szCs w:val="24"/>
          <w:highlight w:val="none"/>
          <w:u w:val="none"/>
        </w:rPr>
        <w:t>2.2.5</w:t>
      </w:r>
      <w:r>
        <w:rPr>
          <w:rFonts w:hint="eastAsia" w:ascii="仿宋" w:hAnsi="仿宋" w:eastAsia="仿宋" w:cs="Times New Roman"/>
          <w:sz w:val="24"/>
          <w:szCs w:val="24"/>
          <w:u w:val="none"/>
        </w:rPr>
        <w:t>当乙方发生改制、合并、兼并、分立、设立分支机构、迁址、更名、法定代表人及质量、销售业务负责人变更、生产线改造、生产设备更换等情况时，乙方应按照甲方供应商变更要求将变更情况书面提交至甲方采购部门。甲方需要按照要求进行审核评审的，乙方应积极配合，甲方经审核评审认为不符合要求的，有权要求乙方按照甲方的管理要求进行调整。甲方经审核评审通过后，乙方应及时将变更的认证文件、体系证书等及时提供甲方备案。</w:t>
      </w:r>
    </w:p>
    <w:p w14:paraId="08F5FC5A">
      <w:pPr>
        <w:pStyle w:val="113"/>
        <w:ind w:firstLine="482" w:firstLineChars="200"/>
        <w:rPr>
          <w:rFonts w:ascii="仿宋" w:hAnsi="仿宋" w:eastAsia="仿宋" w:cs="Times New Roman"/>
          <w:b/>
          <w:sz w:val="24"/>
          <w:szCs w:val="24"/>
          <w:highlight w:val="none"/>
          <w:u w:val="none"/>
        </w:rPr>
      </w:pPr>
      <w:r>
        <w:rPr>
          <w:rFonts w:hint="eastAsia" w:ascii="仿宋" w:hAnsi="仿宋" w:eastAsia="仿宋" w:cs="Times New Roman"/>
          <w:b/>
          <w:sz w:val="24"/>
          <w:szCs w:val="24"/>
          <w:highlight w:val="none"/>
          <w:u w:val="none"/>
        </w:rPr>
        <w:t>3．质量条款</w:t>
      </w:r>
    </w:p>
    <w:p w14:paraId="580F955C">
      <w:pPr>
        <w:tabs>
          <w:tab w:val="left" w:pos="0"/>
        </w:tabs>
        <w:ind w:firstLine="482" w:firstLineChars="200"/>
        <w:rPr>
          <w:rFonts w:ascii="仿宋" w:hAnsi="仿宋" w:eastAsia="仿宋"/>
          <w:b/>
          <w:sz w:val="24"/>
          <w:szCs w:val="24"/>
          <w:highlight w:val="none"/>
          <w:u w:val="none"/>
        </w:rPr>
      </w:pPr>
      <w:r>
        <w:rPr>
          <w:rFonts w:hint="eastAsia" w:ascii="仿宋" w:hAnsi="仿宋" w:eastAsia="仿宋"/>
          <w:b/>
          <w:sz w:val="24"/>
          <w:szCs w:val="24"/>
          <w:highlight w:val="none"/>
          <w:u w:val="none"/>
        </w:rPr>
        <w:t>3.1实物质量标准</w:t>
      </w:r>
    </w:p>
    <w:p w14:paraId="56A0BDDA">
      <w:pPr>
        <w:ind w:firstLine="480" w:firstLineChars="200"/>
        <w:jc w:val="left"/>
        <w:rPr>
          <w:rFonts w:ascii="仿宋" w:hAnsi="仿宋" w:eastAsia="仿宋" w:cs="Times New Roman"/>
          <w:sz w:val="24"/>
          <w:szCs w:val="24"/>
          <w:highlight w:val="none"/>
          <w:u w:val="none"/>
        </w:rPr>
      </w:pPr>
      <w:r>
        <w:rPr>
          <w:rFonts w:hint="eastAsia" w:ascii="仿宋" w:hAnsi="仿宋" w:eastAsia="仿宋" w:cs="Times New Roman"/>
          <w:sz w:val="24"/>
          <w:szCs w:val="24"/>
          <w:highlight w:val="none"/>
          <w:u w:val="none"/>
        </w:rPr>
        <w:t>3.1.1乙方负责向甲方提供符合标准要求和甲方产品符合性要求的产品。制造过程中需要更改图样、工艺及技术要求时，需经甲方书面批准，非经甲方书面批准，不得擅自更改。</w:t>
      </w:r>
    </w:p>
    <w:p w14:paraId="1FCCDADC">
      <w:pPr>
        <w:ind w:firstLine="480" w:firstLineChars="200"/>
        <w:jc w:val="left"/>
        <w:rPr>
          <w:rFonts w:ascii="仿宋" w:hAnsi="仿宋" w:eastAsia="仿宋" w:cs="Times New Roman"/>
          <w:sz w:val="24"/>
          <w:szCs w:val="24"/>
          <w:highlight w:val="none"/>
          <w:u w:val="none"/>
        </w:rPr>
      </w:pPr>
      <w:r>
        <w:rPr>
          <w:rFonts w:hint="eastAsia" w:ascii="仿宋" w:hAnsi="仿宋" w:eastAsia="仿宋" w:cs="Times New Roman"/>
          <w:sz w:val="24"/>
          <w:szCs w:val="24"/>
          <w:highlight w:val="none"/>
          <w:u w:val="none"/>
        </w:rPr>
        <w:t>产品符合性的判定依据包括但不限于以下内容：</w:t>
      </w:r>
    </w:p>
    <w:p w14:paraId="692A7764">
      <w:pPr>
        <w:ind w:firstLine="480" w:firstLineChars="200"/>
        <w:jc w:val="left"/>
        <w:rPr>
          <w:rFonts w:ascii="仿宋" w:hAnsi="仿宋" w:eastAsia="仿宋" w:cs="Times New Roman"/>
          <w:sz w:val="24"/>
          <w:szCs w:val="24"/>
          <w:highlight w:val="none"/>
          <w:u w:val="none"/>
        </w:rPr>
      </w:pPr>
      <w:r>
        <w:rPr>
          <w:rFonts w:hint="eastAsia" w:ascii="仿宋" w:hAnsi="仿宋" w:eastAsia="仿宋" w:cs="Times New Roman"/>
          <w:sz w:val="24"/>
          <w:szCs w:val="24"/>
          <w:highlight w:val="none"/>
          <w:u w:val="none"/>
        </w:rPr>
        <w:t>a.产品图样；</w:t>
      </w:r>
    </w:p>
    <w:p w14:paraId="695BC0BB">
      <w:pPr>
        <w:ind w:firstLine="480" w:firstLineChars="200"/>
        <w:jc w:val="left"/>
        <w:rPr>
          <w:rFonts w:ascii="仿宋" w:hAnsi="仿宋" w:eastAsia="仿宋" w:cs="Times New Roman"/>
          <w:sz w:val="24"/>
          <w:szCs w:val="24"/>
          <w:highlight w:val="none"/>
          <w:u w:val="none"/>
        </w:rPr>
      </w:pPr>
      <w:r>
        <w:rPr>
          <w:rFonts w:hint="eastAsia" w:ascii="仿宋" w:hAnsi="仿宋" w:eastAsia="仿宋" w:cs="Times New Roman"/>
          <w:sz w:val="24"/>
          <w:szCs w:val="24"/>
          <w:highlight w:val="none"/>
          <w:u w:val="none"/>
        </w:rPr>
        <w:t>b.产品技术文件；</w:t>
      </w:r>
    </w:p>
    <w:p w14:paraId="3F45F6DE">
      <w:pPr>
        <w:ind w:firstLine="480" w:firstLineChars="200"/>
        <w:jc w:val="left"/>
        <w:rPr>
          <w:rFonts w:ascii="仿宋" w:hAnsi="仿宋" w:eastAsia="仿宋" w:cs="Times New Roman"/>
          <w:sz w:val="24"/>
          <w:szCs w:val="24"/>
          <w:highlight w:val="none"/>
          <w:u w:val="none"/>
        </w:rPr>
      </w:pPr>
      <w:r>
        <w:rPr>
          <w:rFonts w:hint="eastAsia" w:ascii="仿宋" w:hAnsi="仿宋" w:eastAsia="仿宋" w:cs="Times New Roman"/>
          <w:sz w:val="24"/>
          <w:szCs w:val="24"/>
          <w:highlight w:val="none"/>
          <w:u w:val="none"/>
        </w:rPr>
        <w:t>c.产品技术协议；</w:t>
      </w:r>
    </w:p>
    <w:p w14:paraId="064FC08C">
      <w:pPr>
        <w:ind w:firstLine="480" w:firstLineChars="200"/>
        <w:jc w:val="left"/>
        <w:rPr>
          <w:rFonts w:ascii="仿宋" w:hAnsi="仿宋" w:eastAsia="仿宋" w:cs="Times New Roman"/>
          <w:sz w:val="24"/>
          <w:szCs w:val="24"/>
          <w:highlight w:val="none"/>
          <w:u w:val="none"/>
        </w:rPr>
      </w:pPr>
      <w:r>
        <w:rPr>
          <w:rFonts w:hint="eastAsia" w:ascii="仿宋" w:hAnsi="仿宋" w:eastAsia="仿宋" w:cs="Times New Roman"/>
          <w:sz w:val="24"/>
          <w:szCs w:val="24"/>
          <w:highlight w:val="none"/>
          <w:u w:val="none"/>
        </w:rPr>
        <w:t>d.产品相关的现行标准；</w:t>
      </w:r>
    </w:p>
    <w:p w14:paraId="7FFDEFCD">
      <w:pPr>
        <w:ind w:firstLine="480" w:firstLineChars="200"/>
        <w:jc w:val="left"/>
        <w:rPr>
          <w:rFonts w:ascii="仿宋" w:hAnsi="仿宋" w:eastAsia="仿宋" w:cs="Times New Roman"/>
          <w:sz w:val="24"/>
          <w:szCs w:val="24"/>
          <w:highlight w:val="none"/>
          <w:u w:val="none"/>
        </w:rPr>
      </w:pPr>
      <w:r>
        <w:rPr>
          <w:rFonts w:hint="eastAsia" w:ascii="仿宋" w:hAnsi="仿宋" w:eastAsia="仿宋" w:cs="Times New Roman"/>
          <w:sz w:val="24"/>
          <w:szCs w:val="24"/>
          <w:highlight w:val="none"/>
          <w:u w:val="none"/>
        </w:rPr>
        <w:t>e.产品的会签图纸或双方确认的技术要求；</w:t>
      </w:r>
    </w:p>
    <w:p w14:paraId="148C45E6">
      <w:pPr>
        <w:ind w:firstLine="480" w:firstLineChars="200"/>
        <w:jc w:val="left"/>
        <w:rPr>
          <w:rFonts w:ascii="仿宋" w:hAnsi="仿宋" w:eastAsia="仿宋" w:cs="Times New Roman"/>
          <w:sz w:val="24"/>
          <w:szCs w:val="24"/>
          <w:highlight w:val="none"/>
          <w:u w:val="none"/>
        </w:rPr>
      </w:pPr>
      <w:r>
        <w:rPr>
          <w:rFonts w:hint="eastAsia" w:ascii="仿宋" w:hAnsi="仿宋" w:eastAsia="仿宋" w:cs="Times New Roman"/>
          <w:sz w:val="24"/>
          <w:szCs w:val="24"/>
          <w:highlight w:val="none"/>
          <w:u w:val="none"/>
        </w:rPr>
        <w:t>f</w:t>
      </w:r>
      <w:r>
        <w:rPr>
          <w:rFonts w:ascii="仿宋" w:hAnsi="仿宋" w:eastAsia="仿宋" w:cs="Times New Roman"/>
          <w:sz w:val="24"/>
          <w:szCs w:val="24"/>
          <w:highlight w:val="none"/>
          <w:u w:val="none"/>
        </w:rPr>
        <w:t>.</w:t>
      </w:r>
      <w:r>
        <w:rPr>
          <w:rFonts w:hint="eastAsia" w:ascii="仿宋" w:hAnsi="仿宋" w:eastAsia="仿宋" w:cs="Times New Roman"/>
          <w:sz w:val="24"/>
          <w:szCs w:val="24"/>
          <w:highlight w:val="none"/>
          <w:u w:val="none"/>
        </w:rPr>
        <w:t>产品包装要求；</w:t>
      </w:r>
    </w:p>
    <w:p w14:paraId="2315BABD">
      <w:pPr>
        <w:ind w:firstLine="480" w:firstLineChars="200"/>
        <w:jc w:val="left"/>
        <w:rPr>
          <w:rFonts w:ascii="仿宋" w:hAnsi="仿宋" w:eastAsia="仿宋" w:cs="Times New Roman"/>
          <w:sz w:val="24"/>
          <w:szCs w:val="24"/>
          <w:highlight w:val="none"/>
          <w:u w:val="none"/>
        </w:rPr>
      </w:pPr>
      <w:r>
        <w:rPr>
          <w:rFonts w:hint="eastAsia" w:ascii="仿宋" w:hAnsi="仿宋" w:eastAsia="仿宋" w:cs="Times New Roman"/>
          <w:sz w:val="24"/>
          <w:szCs w:val="24"/>
          <w:highlight w:val="none"/>
          <w:u w:val="none"/>
        </w:rPr>
        <w:t>g.产品质量目标要求。</w:t>
      </w:r>
    </w:p>
    <w:p w14:paraId="3079DFE1">
      <w:pPr>
        <w:ind w:firstLine="480" w:firstLineChars="200"/>
        <w:jc w:val="left"/>
        <w:rPr>
          <w:rFonts w:ascii="仿宋" w:hAnsi="仿宋" w:eastAsia="仿宋" w:cs="Times New Roman"/>
          <w:sz w:val="24"/>
          <w:szCs w:val="24"/>
          <w:highlight w:val="none"/>
          <w:u w:val="none"/>
        </w:rPr>
      </w:pPr>
      <w:r>
        <w:rPr>
          <w:rFonts w:hint="eastAsia" w:ascii="仿宋" w:hAnsi="仿宋" w:eastAsia="仿宋" w:cs="Times New Roman"/>
          <w:sz w:val="24"/>
          <w:szCs w:val="24"/>
          <w:highlight w:val="none"/>
          <w:u w:val="none"/>
        </w:rPr>
        <w:t>3.1.2乙方提供给甲方的产品，应附有：</w:t>
      </w:r>
    </w:p>
    <w:p w14:paraId="62C3825A">
      <w:pPr>
        <w:ind w:firstLine="480" w:firstLineChars="200"/>
        <w:jc w:val="left"/>
        <w:rPr>
          <w:rFonts w:ascii="仿宋" w:hAnsi="仿宋" w:eastAsia="仿宋" w:cs="Times New Roman"/>
          <w:sz w:val="24"/>
          <w:szCs w:val="24"/>
          <w:highlight w:val="none"/>
          <w:u w:val="none"/>
        </w:rPr>
      </w:pPr>
      <w:r>
        <w:rPr>
          <w:rFonts w:hint="eastAsia" w:ascii="仿宋" w:hAnsi="仿宋" w:eastAsia="仿宋" w:cs="Times New Roman"/>
          <w:sz w:val="24"/>
          <w:szCs w:val="24"/>
          <w:highlight w:val="none"/>
          <w:u w:val="none"/>
        </w:rPr>
        <w:t>a</w:t>
      </w:r>
      <w:r>
        <w:rPr>
          <w:rFonts w:ascii="仿宋" w:hAnsi="仿宋" w:eastAsia="仿宋" w:cs="Times New Roman"/>
          <w:sz w:val="24"/>
          <w:szCs w:val="24"/>
          <w:highlight w:val="none"/>
          <w:u w:val="none"/>
        </w:rPr>
        <w:t>.</w:t>
      </w:r>
      <w:r>
        <w:rPr>
          <w:rFonts w:hint="eastAsia" w:ascii="仿宋" w:hAnsi="仿宋" w:eastAsia="仿宋" w:cs="Times New Roman"/>
          <w:sz w:val="24"/>
          <w:szCs w:val="24"/>
          <w:highlight w:val="none"/>
          <w:u w:val="none"/>
        </w:rPr>
        <w:t>符合甲方要求的自检报告及产品合格证明，乙方应对报告的数据真实性负责。必要时按甲方要求提供双方认可的第三方检测报告；</w:t>
      </w:r>
    </w:p>
    <w:p w14:paraId="45CAD53E">
      <w:pPr>
        <w:ind w:firstLine="480" w:firstLineChars="200"/>
        <w:jc w:val="left"/>
        <w:rPr>
          <w:rFonts w:ascii="仿宋" w:hAnsi="仿宋" w:eastAsia="仿宋" w:cs="Times New Roman"/>
          <w:sz w:val="24"/>
          <w:szCs w:val="24"/>
          <w:highlight w:val="none"/>
          <w:u w:val="none"/>
        </w:rPr>
      </w:pPr>
      <w:r>
        <w:rPr>
          <w:rFonts w:hint="eastAsia" w:ascii="仿宋" w:hAnsi="仿宋" w:eastAsia="仿宋" w:cs="Times New Roman"/>
          <w:sz w:val="24"/>
          <w:szCs w:val="24"/>
          <w:highlight w:val="none"/>
          <w:u w:val="none"/>
        </w:rPr>
        <w:t>b.符合甲方要求的产品铭牌、编号及标识；</w:t>
      </w:r>
    </w:p>
    <w:p w14:paraId="2ACA2CB5">
      <w:pPr>
        <w:ind w:firstLine="480" w:firstLineChars="200"/>
        <w:jc w:val="left"/>
        <w:rPr>
          <w:rFonts w:ascii="仿宋" w:hAnsi="仿宋" w:eastAsia="仿宋" w:cs="Times New Roman"/>
          <w:sz w:val="24"/>
          <w:szCs w:val="24"/>
          <w:highlight w:val="none"/>
          <w:u w:val="none"/>
        </w:rPr>
      </w:pPr>
      <w:r>
        <w:rPr>
          <w:rFonts w:hint="eastAsia" w:ascii="仿宋" w:hAnsi="仿宋" w:eastAsia="仿宋" w:cs="Times New Roman"/>
          <w:sz w:val="24"/>
          <w:szCs w:val="24"/>
          <w:highlight w:val="none"/>
          <w:u w:val="none"/>
        </w:rPr>
        <w:t>c.甲方要求的产品说明书；</w:t>
      </w:r>
    </w:p>
    <w:p w14:paraId="2BA976D7">
      <w:pPr>
        <w:ind w:firstLine="480" w:firstLineChars="200"/>
        <w:jc w:val="left"/>
        <w:rPr>
          <w:rFonts w:ascii="仿宋" w:hAnsi="仿宋" w:eastAsia="仿宋" w:cs="Times New Roman"/>
          <w:sz w:val="24"/>
          <w:szCs w:val="24"/>
          <w:highlight w:val="none"/>
          <w:u w:val="none"/>
        </w:rPr>
      </w:pPr>
      <w:r>
        <w:rPr>
          <w:rFonts w:hint="eastAsia" w:ascii="仿宋" w:hAnsi="仿宋" w:eastAsia="仿宋" w:cs="Times New Roman"/>
          <w:sz w:val="24"/>
          <w:szCs w:val="24"/>
          <w:highlight w:val="none"/>
          <w:u w:val="none"/>
        </w:rPr>
        <w:t>d.具有可追溯性的批次信息；</w:t>
      </w:r>
    </w:p>
    <w:p w14:paraId="060614D1">
      <w:pPr>
        <w:ind w:firstLine="480" w:firstLineChars="200"/>
        <w:jc w:val="left"/>
        <w:rPr>
          <w:rFonts w:ascii="仿宋" w:hAnsi="仿宋" w:eastAsia="仿宋" w:cs="Times New Roman"/>
          <w:sz w:val="24"/>
          <w:szCs w:val="24"/>
          <w:highlight w:val="none"/>
          <w:u w:val="none"/>
        </w:rPr>
      </w:pPr>
      <w:r>
        <w:rPr>
          <w:rFonts w:hint="eastAsia" w:ascii="仿宋" w:hAnsi="仿宋" w:eastAsia="仿宋" w:cs="Times New Roman"/>
          <w:sz w:val="24"/>
          <w:szCs w:val="24"/>
          <w:highlight w:val="none"/>
          <w:u w:val="none"/>
        </w:rPr>
        <w:t>e.甲方有要求时，应按甲方相关标准携带条码。</w:t>
      </w:r>
    </w:p>
    <w:p w14:paraId="78C7EF8D">
      <w:pPr>
        <w:ind w:firstLine="482" w:firstLineChars="200"/>
        <w:jc w:val="left"/>
        <w:rPr>
          <w:rFonts w:ascii="仿宋" w:hAnsi="仿宋" w:eastAsia="仿宋" w:cs="Times New Roman"/>
          <w:b/>
          <w:sz w:val="24"/>
          <w:szCs w:val="24"/>
          <w:highlight w:val="none"/>
          <w:u w:val="none"/>
        </w:rPr>
      </w:pPr>
      <w:r>
        <w:rPr>
          <w:rFonts w:hint="eastAsia" w:ascii="仿宋" w:hAnsi="仿宋" w:eastAsia="仿宋" w:cs="Times New Roman"/>
          <w:b/>
          <w:sz w:val="24"/>
          <w:szCs w:val="24"/>
          <w:highlight w:val="none"/>
          <w:u w:val="none"/>
        </w:rPr>
        <w:t>3.2检验要求</w:t>
      </w:r>
    </w:p>
    <w:p w14:paraId="31CF5EC5">
      <w:pPr>
        <w:ind w:firstLine="480" w:firstLineChars="200"/>
        <w:jc w:val="left"/>
        <w:rPr>
          <w:rFonts w:ascii="仿宋" w:hAnsi="仿宋" w:eastAsia="仿宋" w:cs="Times New Roman"/>
          <w:sz w:val="24"/>
          <w:szCs w:val="24"/>
          <w:highlight w:val="none"/>
          <w:u w:val="none"/>
        </w:rPr>
      </w:pPr>
      <w:r>
        <w:rPr>
          <w:rFonts w:hint="eastAsia" w:ascii="仿宋" w:hAnsi="仿宋" w:eastAsia="仿宋"/>
          <w:sz w:val="24"/>
          <w:szCs w:val="24"/>
          <w:highlight w:val="none"/>
          <w:u w:val="none"/>
        </w:rPr>
        <w:t>3.2.1</w:t>
      </w:r>
      <w:r>
        <w:rPr>
          <w:rFonts w:hint="eastAsia" w:ascii="仿宋" w:hAnsi="仿宋" w:eastAsia="仿宋" w:cs="Times New Roman"/>
          <w:sz w:val="24"/>
          <w:szCs w:val="24"/>
          <w:highlight w:val="none"/>
          <w:u w:val="none"/>
        </w:rPr>
        <w:t>乙方应按照国家法律法规及甲方技术和质量要求进行产品检验，建立和保留进货检验、过程检验和出厂检验记录，并按甲方要求提交或备查。对于法规件，应按照法规保存要求保留相关检验记录。</w:t>
      </w:r>
    </w:p>
    <w:p w14:paraId="6C30C40F">
      <w:pPr>
        <w:ind w:firstLine="480" w:firstLineChars="200"/>
        <w:jc w:val="left"/>
        <w:rPr>
          <w:rFonts w:ascii="仿宋" w:hAnsi="仿宋" w:eastAsia="仿宋" w:cs="Times New Roman"/>
          <w:sz w:val="24"/>
          <w:szCs w:val="24"/>
          <w:highlight w:val="none"/>
          <w:u w:val="none"/>
        </w:rPr>
      </w:pPr>
      <w:r>
        <w:rPr>
          <w:rFonts w:hint="eastAsia" w:ascii="仿宋" w:hAnsi="仿宋" w:eastAsia="仿宋" w:cs="Times New Roman"/>
          <w:sz w:val="24"/>
          <w:szCs w:val="24"/>
          <w:highlight w:val="none"/>
          <w:u w:val="none"/>
        </w:rPr>
        <w:t>3.2.2乙方应配备必要的试验检验设备，建立覆盖产品原材料检验、功能检测、可靠性检测等方面的试验检验能力。</w:t>
      </w:r>
      <w:r>
        <w:rPr>
          <w:rFonts w:hint="eastAsia" w:ascii="仿宋" w:hAnsi="仿宋" w:eastAsia="仿宋"/>
          <w:kern w:val="0"/>
          <w:sz w:val="24"/>
          <w:highlight w:val="none"/>
          <w:u w:val="none"/>
        </w:rPr>
        <w:t>根据产品的质量特性要求，乙方应制订产品的检验基准书和检验控制计划，报甲方备案。</w:t>
      </w:r>
    </w:p>
    <w:p w14:paraId="4558BBC8">
      <w:pPr>
        <w:ind w:firstLine="480" w:firstLineChars="200"/>
        <w:jc w:val="left"/>
        <w:rPr>
          <w:rFonts w:ascii="仿宋" w:hAnsi="仿宋" w:eastAsia="仿宋" w:cs="Times New Roman"/>
          <w:sz w:val="24"/>
          <w:szCs w:val="24"/>
          <w:highlight w:val="none"/>
          <w:u w:val="none"/>
        </w:rPr>
      </w:pPr>
      <w:r>
        <w:rPr>
          <w:rFonts w:hint="eastAsia" w:ascii="仿宋" w:hAnsi="仿宋" w:eastAsia="仿宋" w:cs="Times New Roman"/>
          <w:sz w:val="24"/>
          <w:szCs w:val="24"/>
          <w:highlight w:val="none"/>
          <w:u w:val="none"/>
        </w:rPr>
        <w:t>3.2.3</w:t>
      </w:r>
      <w:r>
        <w:rPr>
          <w:rFonts w:hint="eastAsia" w:ascii="仿宋" w:hAnsi="仿宋" w:eastAsia="仿宋" w:cs="Times New Roman"/>
          <w:sz w:val="24"/>
          <w:szCs w:val="24"/>
        </w:rPr>
        <w:t>对于异形件、内外饰等型面件，乙方应制作专用检具。同时甲方有权要求乙方提供专用检具供甲方使用，乙方应积极配合完成。</w:t>
      </w:r>
    </w:p>
    <w:p w14:paraId="558766E1">
      <w:pPr>
        <w:ind w:firstLine="480" w:firstLineChars="200"/>
        <w:jc w:val="left"/>
        <w:rPr>
          <w:rFonts w:ascii="仿宋" w:hAnsi="仿宋" w:eastAsia="仿宋" w:cs="Times New Roman"/>
          <w:sz w:val="24"/>
          <w:szCs w:val="24"/>
          <w:highlight w:val="none"/>
          <w:u w:val="none"/>
        </w:rPr>
      </w:pPr>
      <w:r>
        <w:rPr>
          <w:rFonts w:hint="eastAsia" w:ascii="仿宋" w:hAnsi="仿宋" w:eastAsia="仿宋" w:cs="Times New Roman"/>
          <w:sz w:val="24"/>
          <w:szCs w:val="24"/>
          <w:highlight w:val="none"/>
          <w:u w:val="none"/>
        </w:rPr>
        <w:t>3.2.4乙方应根据产品质量特性要求，制订产品检验控制计划并认真组织实施。同时应按甲方产品质量控制计划规定的时限，提供相应的产品检验报告。</w:t>
      </w:r>
    </w:p>
    <w:p w14:paraId="52476582">
      <w:pPr>
        <w:ind w:firstLine="480" w:firstLineChars="200"/>
        <w:jc w:val="left"/>
        <w:rPr>
          <w:rFonts w:ascii="仿宋" w:hAnsi="仿宋" w:eastAsia="仿宋"/>
          <w:kern w:val="0"/>
          <w:sz w:val="24"/>
          <w:highlight w:val="none"/>
          <w:u w:val="none"/>
        </w:rPr>
      </w:pPr>
      <w:r>
        <w:rPr>
          <w:rFonts w:hint="eastAsia" w:ascii="仿宋" w:hAnsi="仿宋" w:eastAsia="仿宋"/>
          <w:kern w:val="0"/>
          <w:sz w:val="24"/>
          <w:highlight w:val="none"/>
          <w:u w:val="none"/>
        </w:rPr>
        <w:t>3</w:t>
      </w:r>
      <w:r>
        <w:rPr>
          <w:rFonts w:ascii="仿宋" w:hAnsi="仿宋" w:eastAsia="仿宋"/>
          <w:kern w:val="0"/>
          <w:sz w:val="24"/>
          <w:highlight w:val="none"/>
          <w:u w:val="none"/>
        </w:rPr>
        <w:t xml:space="preserve">.2.5 </w:t>
      </w:r>
      <w:r>
        <w:rPr>
          <w:rFonts w:hint="eastAsia" w:ascii="仿宋" w:hAnsi="仿宋" w:eastAsia="仿宋"/>
          <w:kern w:val="0"/>
          <w:sz w:val="24"/>
          <w:highlight w:val="none"/>
          <w:u w:val="none"/>
        </w:rPr>
        <w:t>进货检验过程中的破坏性检验，由乙方承担破坏性检验的样件费用。破坏性检验合格残留样件，不再返回乙方，</w:t>
      </w:r>
      <w:r>
        <w:rPr>
          <w:rFonts w:hint="eastAsia" w:ascii="仿宋" w:hAnsi="仿宋" w:eastAsia="仿宋"/>
          <w:sz w:val="24"/>
          <w:szCs w:val="24"/>
          <w:highlight w:val="none"/>
          <w:u w:val="none"/>
        </w:rPr>
        <w:t>由甲方自行按废旧物资处置。</w:t>
      </w:r>
      <w:r>
        <w:rPr>
          <w:rFonts w:hint="eastAsia" w:ascii="仿宋" w:hAnsi="仿宋" w:eastAsia="仿宋"/>
          <w:kern w:val="0"/>
          <w:sz w:val="24"/>
          <w:highlight w:val="none"/>
          <w:u w:val="none"/>
        </w:rPr>
        <w:t>破坏性检验不合格残留样件，</w:t>
      </w:r>
      <w:r>
        <w:rPr>
          <w:rFonts w:hint="eastAsia" w:ascii="仿宋" w:hAnsi="仿宋" w:eastAsia="仿宋" w:cs="Times New Roman"/>
          <w:sz w:val="24"/>
          <w:szCs w:val="24"/>
          <w:highlight w:val="none"/>
          <w:u w:val="none"/>
        </w:rPr>
        <w:t>甲方通知（包括但不限于电话、邮件、SRM平台等方式）乙方后15个工作日内，若乙方未进行处置，则视为乙方自动放弃，</w:t>
      </w:r>
      <w:r>
        <w:rPr>
          <w:rFonts w:hint="eastAsia" w:ascii="仿宋" w:hAnsi="仿宋" w:eastAsia="仿宋"/>
          <w:sz w:val="24"/>
          <w:szCs w:val="24"/>
          <w:highlight w:val="none"/>
          <w:u w:val="none"/>
        </w:rPr>
        <w:t>由甲方自行按废旧物资处置。</w:t>
      </w:r>
    </w:p>
    <w:p w14:paraId="366694E0">
      <w:pPr>
        <w:ind w:firstLine="480" w:firstLineChars="200"/>
        <w:jc w:val="left"/>
        <w:rPr>
          <w:rFonts w:ascii="仿宋" w:hAnsi="仿宋" w:eastAsia="仿宋"/>
          <w:kern w:val="0"/>
          <w:sz w:val="24"/>
          <w:highlight w:val="none"/>
          <w:u w:val="none"/>
        </w:rPr>
      </w:pPr>
      <w:r>
        <w:rPr>
          <w:rFonts w:hint="eastAsia" w:ascii="仿宋" w:hAnsi="仿宋" w:eastAsia="仿宋"/>
          <w:kern w:val="0"/>
          <w:sz w:val="24"/>
          <w:highlight w:val="none"/>
          <w:u w:val="none"/>
        </w:rPr>
        <w:t>3.2.6乙方在提供工装的同时，必须附带图纸</w:t>
      </w:r>
      <w:r>
        <w:rPr>
          <w:rFonts w:hint="eastAsia" w:ascii="仿宋" w:hAnsi="仿宋" w:eastAsia="仿宋"/>
          <w:color w:val="auto"/>
          <w:kern w:val="0"/>
          <w:sz w:val="24"/>
          <w:highlight w:val="none"/>
          <w:u w:val="none"/>
        </w:rPr>
        <w:t>（包含2</w:t>
      </w:r>
      <w:r>
        <w:rPr>
          <w:rFonts w:ascii="仿宋" w:hAnsi="仿宋" w:eastAsia="仿宋"/>
          <w:color w:val="auto"/>
          <w:kern w:val="0"/>
          <w:sz w:val="24"/>
          <w:highlight w:val="none"/>
          <w:u w:val="none"/>
        </w:rPr>
        <w:t>D</w:t>
      </w:r>
      <w:r>
        <w:rPr>
          <w:rFonts w:hint="eastAsia" w:ascii="仿宋" w:hAnsi="仿宋" w:eastAsia="仿宋"/>
          <w:color w:val="auto"/>
          <w:kern w:val="0"/>
          <w:sz w:val="24"/>
          <w:highlight w:val="none"/>
          <w:u w:val="none"/>
        </w:rPr>
        <w:t>及3</w:t>
      </w:r>
      <w:r>
        <w:rPr>
          <w:rFonts w:ascii="仿宋" w:hAnsi="仿宋" w:eastAsia="仿宋"/>
          <w:color w:val="auto"/>
          <w:kern w:val="0"/>
          <w:sz w:val="24"/>
          <w:highlight w:val="none"/>
          <w:u w:val="none"/>
        </w:rPr>
        <w:t>D</w:t>
      </w:r>
      <w:r>
        <w:rPr>
          <w:rFonts w:hint="eastAsia" w:ascii="仿宋" w:hAnsi="仿宋" w:eastAsia="仿宋"/>
          <w:color w:val="auto"/>
          <w:kern w:val="0"/>
          <w:sz w:val="24"/>
          <w:highlight w:val="none"/>
          <w:u w:val="none"/>
        </w:rPr>
        <w:t>图纸）</w:t>
      </w:r>
      <w:r>
        <w:rPr>
          <w:rFonts w:hint="eastAsia" w:ascii="仿宋" w:hAnsi="仿宋" w:eastAsia="仿宋"/>
          <w:kern w:val="0"/>
          <w:sz w:val="24"/>
          <w:highlight w:val="none"/>
          <w:u w:val="none"/>
        </w:rPr>
        <w:t>、工装检验合格证、尺寸检验记录、模具情况鉴定表、硬度检验记录、工装跟踪簿、派工单等相关资料，其中曲轴类工装必须提供三维尺寸检测报告，以便甲方进行复验、验收。如乙方不提供相关资料，甲方将按检验不合格处置。</w:t>
      </w:r>
    </w:p>
    <w:p w14:paraId="11B2AA3F">
      <w:pPr>
        <w:ind w:firstLine="480" w:firstLineChars="200"/>
        <w:jc w:val="left"/>
        <w:rPr>
          <w:rFonts w:ascii="仿宋" w:hAnsi="仿宋" w:eastAsia="仿宋"/>
          <w:kern w:val="0"/>
          <w:sz w:val="24"/>
          <w:highlight w:val="none"/>
          <w:u w:val="none"/>
        </w:rPr>
      </w:pPr>
      <w:r>
        <w:rPr>
          <w:rFonts w:hint="eastAsia" w:ascii="仿宋" w:hAnsi="仿宋" w:eastAsia="仿宋"/>
          <w:kern w:val="0"/>
          <w:sz w:val="24"/>
          <w:highlight w:val="none"/>
          <w:u w:val="none"/>
        </w:rPr>
        <w:t>3.2.7为确保乙方提供的工装精度，甲方不定期到工装生产现场对乙方的三维造型和模拟图样与甲方造型进行比对，并检测现场精磨使用检测样板，来确保乙方工装精度。在复检中发现的不合格，每发生一次考核3000-10000元,年周期内重复发生的加倍考核。乙方制造过程发生变更时，必须书面通知甲方，甲方根据体系管理要求进行二方审核，审核通过后方可进行生产。</w:t>
      </w:r>
    </w:p>
    <w:p w14:paraId="4EECD2C5">
      <w:pPr>
        <w:ind w:firstLine="480" w:firstLineChars="200"/>
        <w:jc w:val="left"/>
        <w:rPr>
          <w:rFonts w:hint="eastAsia" w:ascii="仿宋" w:hAnsi="仿宋" w:eastAsia="仿宋"/>
          <w:kern w:val="0"/>
          <w:sz w:val="24"/>
          <w:highlight w:val="none"/>
          <w:u w:val="none"/>
        </w:rPr>
      </w:pPr>
      <w:r>
        <w:rPr>
          <w:rFonts w:hint="eastAsia" w:ascii="仿宋" w:hAnsi="仿宋" w:eastAsia="仿宋"/>
          <w:kern w:val="0"/>
          <w:sz w:val="24"/>
          <w:highlight w:val="none"/>
          <w:u w:val="none"/>
        </w:rPr>
        <w:t>3.2.8铸造工装，甲方主要检查工装的外观质量、配件是否齐全，对关健尺寸、主要配件性能以及</w:t>
      </w:r>
      <w:r>
        <w:rPr>
          <w:rFonts w:hint="eastAsia" w:ascii="仿宋" w:hAnsi="仿宋" w:eastAsia="仿宋"/>
          <w:color w:val="auto"/>
          <w:kern w:val="0"/>
          <w:sz w:val="24"/>
          <w:highlight w:val="none"/>
          <w:u w:val="none"/>
        </w:rPr>
        <w:t>关键模具的材质</w:t>
      </w:r>
      <w:r>
        <w:rPr>
          <w:rFonts w:hint="eastAsia" w:ascii="仿宋" w:hAnsi="仿宋" w:eastAsia="仿宋"/>
          <w:kern w:val="0"/>
          <w:sz w:val="24"/>
          <w:highlight w:val="none"/>
          <w:u w:val="none"/>
        </w:rPr>
        <w:t>进行确认。锻造模具工装，甲方主要对硬度、外观质量和新制模具闭合高度及模具外观能够检测部位进行确认,新制模具焊修后甲方将按新制模具的要求来进行检验，乙方应在</w:t>
      </w:r>
      <w:r>
        <w:rPr>
          <w:rFonts w:hint="eastAsia" w:ascii="仿宋" w:hAnsi="仿宋" w:eastAsia="仿宋"/>
          <w:color w:val="auto"/>
          <w:kern w:val="0"/>
          <w:sz w:val="24"/>
          <w:highlight w:val="none"/>
          <w:u w:val="none"/>
        </w:rPr>
        <w:t>焊修模具的工</w:t>
      </w:r>
      <w:r>
        <w:rPr>
          <w:rFonts w:hint="eastAsia" w:ascii="仿宋" w:hAnsi="仿宋" w:eastAsia="仿宋"/>
          <w:kern w:val="0"/>
          <w:sz w:val="24"/>
          <w:highlight w:val="none"/>
          <w:u w:val="none"/>
        </w:rPr>
        <w:t>装检验合格证上注明未焊修前基体的硬度。</w:t>
      </w:r>
    </w:p>
    <w:p w14:paraId="121198AB">
      <w:pPr>
        <w:ind w:firstLine="480" w:firstLineChars="200"/>
        <w:jc w:val="left"/>
        <w:rPr>
          <w:rFonts w:ascii="仿宋" w:hAnsi="仿宋" w:eastAsia="仿宋"/>
          <w:strike/>
          <w:dstrike w:val="0"/>
          <w:kern w:val="0"/>
          <w:sz w:val="24"/>
          <w:highlight w:val="none"/>
          <w:u w:val="none"/>
        </w:rPr>
      </w:pPr>
      <w:r>
        <w:rPr>
          <w:rFonts w:hint="eastAsia" w:ascii="仿宋" w:hAnsi="仿宋" w:eastAsia="仿宋"/>
          <w:kern w:val="0"/>
          <w:sz w:val="24"/>
          <w:highlight w:val="none"/>
          <w:u w:val="none"/>
        </w:rPr>
        <w:t>3.2.9乙方提供首批（首件、样件）工装时，需同时提供该工装的材质报告单、质保单及检验记录等质量证明文件。</w:t>
      </w:r>
    </w:p>
    <w:p w14:paraId="01199E1B">
      <w:pPr>
        <w:ind w:firstLine="482" w:firstLineChars="200"/>
        <w:jc w:val="left"/>
        <w:rPr>
          <w:rFonts w:ascii="仿宋" w:hAnsi="仿宋" w:eastAsia="仿宋" w:cs="Times New Roman"/>
          <w:b/>
          <w:sz w:val="24"/>
          <w:szCs w:val="24"/>
          <w:highlight w:val="none"/>
          <w:u w:val="none"/>
        </w:rPr>
      </w:pPr>
      <w:r>
        <w:rPr>
          <w:rFonts w:hint="eastAsia" w:ascii="仿宋" w:hAnsi="仿宋" w:eastAsia="仿宋" w:cs="Times New Roman"/>
          <w:b/>
          <w:sz w:val="24"/>
          <w:szCs w:val="24"/>
          <w:highlight w:val="none"/>
          <w:u w:val="none"/>
        </w:rPr>
        <w:t>3.3二方审核</w:t>
      </w:r>
    </w:p>
    <w:p w14:paraId="58AD364D">
      <w:pPr>
        <w:ind w:firstLine="480" w:firstLineChars="200"/>
        <w:jc w:val="left"/>
        <w:rPr>
          <w:rFonts w:ascii="仿宋" w:hAnsi="仿宋" w:eastAsia="仿宋" w:cs="Times New Roman"/>
          <w:sz w:val="24"/>
          <w:szCs w:val="24"/>
          <w:u w:val="none"/>
        </w:rPr>
      </w:pPr>
      <w:r>
        <w:rPr>
          <w:rFonts w:hint="eastAsia" w:ascii="仿宋" w:hAnsi="仿宋" w:eastAsia="仿宋" w:cs="Times New Roman"/>
          <w:sz w:val="24"/>
          <w:szCs w:val="24"/>
          <w:u w:val="none"/>
        </w:rPr>
        <w:t>当甲方在进货检验、生产制造、售后服务和质量抽检等过程发现乙方产品存在异常质量问题时或产品启用时，可自行或委托第三方机构到乙方（含乙方分供方）生产现场开展针对产品、过程或体系等的二方审核。第三方机构的</w:t>
      </w:r>
      <w:r>
        <w:rPr>
          <w:rFonts w:ascii="仿宋" w:hAnsi="仿宋" w:eastAsia="仿宋" w:cs="Times New Roman"/>
          <w:sz w:val="24"/>
          <w:szCs w:val="24"/>
          <w:u w:val="none"/>
        </w:rPr>
        <w:t>审核费用</w:t>
      </w:r>
      <w:r>
        <w:rPr>
          <w:rFonts w:hint="eastAsia" w:ascii="仿宋" w:hAnsi="仿宋" w:eastAsia="仿宋" w:cs="Times New Roman"/>
          <w:sz w:val="24"/>
          <w:szCs w:val="24"/>
          <w:u w:val="none"/>
        </w:rPr>
        <w:t>及</w:t>
      </w:r>
      <w:r>
        <w:rPr>
          <w:rFonts w:ascii="仿宋" w:hAnsi="仿宋" w:eastAsia="仿宋" w:cs="Times New Roman"/>
          <w:sz w:val="24"/>
          <w:szCs w:val="24"/>
          <w:u w:val="none"/>
        </w:rPr>
        <w:t>审核员的交通食宿费用由</w:t>
      </w:r>
      <w:r>
        <w:rPr>
          <w:rFonts w:hint="eastAsia" w:ascii="仿宋" w:hAnsi="仿宋" w:eastAsia="仿宋" w:cs="Times New Roman"/>
          <w:sz w:val="24"/>
          <w:szCs w:val="24"/>
          <w:u w:val="none"/>
        </w:rPr>
        <w:t>乙方</w:t>
      </w:r>
      <w:r>
        <w:rPr>
          <w:rFonts w:ascii="仿宋" w:hAnsi="仿宋" w:eastAsia="仿宋" w:cs="Times New Roman"/>
          <w:sz w:val="24"/>
          <w:szCs w:val="24"/>
          <w:u w:val="none"/>
        </w:rPr>
        <w:t>承担</w:t>
      </w:r>
      <w:r>
        <w:rPr>
          <w:rFonts w:hint="eastAsia" w:ascii="仿宋" w:hAnsi="仿宋" w:eastAsia="仿宋" w:cs="Times New Roman"/>
          <w:sz w:val="24"/>
          <w:szCs w:val="24"/>
          <w:u w:val="none"/>
        </w:rPr>
        <w:t>。</w:t>
      </w:r>
    </w:p>
    <w:p w14:paraId="3588859B">
      <w:pPr>
        <w:ind w:firstLine="482" w:firstLineChars="200"/>
        <w:jc w:val="left"/>
        <w:rPr>
          <w:rFonts w:ascii="仿宋" w:hAnsi="仿宋" w:eastAsia="仿宋" w:cs="Times New Roman"/>
          <w:b/>
          <w:sz w:val="24"/>
          <w:szCs w:val="24"/>
          <w:highlight w:val="none"/>
          <w:u w:val="none"/>
        </w:rPr>
      </w:pPr>
      <w:r>
        <w:rPr>
          <w:rFonts w:hint="eastAsia" w:ascii="仿宋" w:hAnsi="仿宋" w:eastAsia="仿宋" w:cs="Times New Roman"/>
          <w:b/>
          <w:sz w:val="24"/>
          <w:szCs w:val="24"/>
          <w:highlight w:val="none"/>
          <w:u w:val="none"/>
        </w:rPr>
        <w:t>3.4产品免检</w:t>
      </w:r>
    </w:p>
    <w:p w14:paraId="0A005527">
      <w:pPr>
        <w:ind w:firstLine="480" w:firstLineChars="200"/>
        <w:jc w:val="left"/>
        <w:rPr>
          <w:rFonts w:ascii="仿宋" w:hAnsi="仿宋" w:eastAsia="仿宋" w:cs="Times New Roman"/>
          <w:sz w:val="24"/>
          <w:szCs w:val="24"/>
          <w:highlight w:val="none"/>
          <w:u w:val="none"/>
        </w:rPr>
      </w:pPr>
      <w:r>
        <w:rPr>
          <w:rFonts w:hint="eastAsia" w:ascii="仿宋" w:hAnsi="仿宋" w:eastAsia="仿宋" w:cs="Times New Roman"/>
          <w:sz w:val="24"/>
          <w:szCs w:val="24"/>
          <w:highlight w:val="none"/>
          <w:u w:val="none"/>
        </w:rPr>
        <w:t>质量保证体系健全且具备向甲方持续提供合格产品的卓越供方，可向甲方提出产品免检申请，甲方审核批准后将其纳入免检供方名录。</w:t>
      </w:r>
    </w:p>
    <w:p w14:paraId="4AB06C85">
      <w:pPr>
        <w:pStyle w:val="113"/>
        <w:ind w:firstLine="482" w:firstLineChars="200"/>
        <w:rPr>
          <w:rFonts w:ascii="仿宋" w:hAnsi="仿宋" w:eastAsia="仿宋" w:cs="Times New Roman"/>
          <w:b/>
          <w:sz w:val="24"/>
          <w:szCs w:val="24"/>
          <w:highlight w:val="none"/>
          <w:u w:val="none"/>
        </w:rPr>
      </w:pPr>
      <w:r>
        <w:rPr>
          <w:rFonts w:hint="eastAsia" w:ascii="仿宋" w:hAnsi="仿宋" w:eastAsia="仿宋" w:cs="Times New Roman"/>
          <w:b/>
          <w:sz w:val="24"/>
          <w:szCs w:val="24"/>
          <w:highlight w:val="none"/>
          <w:u w:val="none"/>
        </w:rPr>
        <w:t>4．服务条款</w:t>
      </w:r>
    </w:p>
    <w:p w14:paraId="11969887">
      <w:pPr>
        <w:ind w:firstLine="480" w:firstLineChars="200"/>
        <w:jc w:val="left"/>
        <w:rPr>
          <w:rFonts w:hint="eastAsia" w:ascii="仿宋" w:hAnsi="仿宋" w:eastAsia="仿宋" w:cs="Times New Roman"/>
          <w:sz w:val="24"/>
          <w:szCs w:val="24"/>
        </w:rPr>
      </w:pPr>
      <w:r>
        <w:rPr>
          <w:rFonts w:hint="eastAsia" w:ascii="仿宋" w:hAnsi="仿宋" w:eastAsia="仿宋" w:cs="Times New Roman"/>
          <w:sz w:val="24"/>
          <w:szCs w:val="24"/>
        </w:rPr>
        <w:t>4.1乙方应按照甲方要求提供生产制造过程的技术支持和现场服务。乙方产品在甲方进货检验、生产过程中发生质量问题，乙方在接到通知后，24小时（省内12小时）内到现场进行处理</w:t>
      </w:r>
      <w:r>
        <w:rPr>
          <w:rFonts w:hint="eastAsia" w:ascii="仿宋" w:hAnsi="仿宋" w:eastAsia="仿宋" w:cs="Times New Roman"/>
          <w:sz w:val="24"/>
          <w:szCs w:val="24"/>
          <w:lang w:eastAsia="zh-CN"/>
        </w:rPr>
        <w:t>，</w:t>
      </w:r>
      <w:r>
        <w:rPr>
          <w:rFonts w:hint="eastAsia" w:ascii="仿宋" w:hAnsi="仿宋" w:eastAsia="仿宋" w:cs="Times New Roman"/>
          <w:sz w:val="24"/>
          <w:szCs w:val="24"/>
          <w:lang w:val="en-US" w:eastAsia="zh-CN"/>
        </w:rPr>
        <w:t>没有按时到现场的，视为同意甲方鉴定结论。</w:t>
      </w:r>
      <w:r>
        <w:rPr>
          <w:rFonts w:hint="eastAsia" w:ascii="仿宋" w:hAnsi="仿宋" w:eastAsia="仿宋" w:cs="Times New Roman"/>
          <w:sz w:val="24"/>
          <w:szCs w:val="24"/>
        </w:rPr>
        <w:t>甲方有权对乙方进行强制索赔，未按时到现场的甲方将对乙方考核1000-10000元，年周期内重复发生的加倍考核。</w:t>
      </w:r>
    </w:p>
    <w:p w14:paraId="557EB8BC">
      <w:pPr>
        <w:ind w:firstLine="480" w:firstLineChars="200"/>
        <w:jc w:val="left"/>
        <w:rPr>
          <w:rFonts w:hint="eastAsia" w:ascii="仿宋" w:hAnsi="仿宋" w:eastAsia="仿宋" w:cs="Times New Roman"/>
          <w:sz w:val="24"/>
          <w:szCs w:val="24"/>
        </w:rPr>
      </w:pPr>
      <w:r>
        <w:rPr>
          <w:rFonts w:hint="eastAsia" w:ascii="仿宋" w:hAnsi="仿宋" w:eastAsia="仿宋" w:cs="Times New Roman"/>
          <w:sz w:val="24"/>
          <w:szCs w:val="24"/>
        </w:rPr>
        <w:t>4.2乙方如对甲方的复验结果有异议，应在得到检验结果后8小时内书面提出，若选择第三方复验，要选择甲方所在地质检机构，其资质应达到或高于</w:t>
      </w:r>
      <w:r>
        <w:rPr>
          <w:rFonts w:hint="eastAsia" w:ascii="仿宋" w:hAnsi="仿宋" w:eastAsia="仿宋" w:cs="Times New Roman"/>
          <w:sz w:val="24"/>
          <w:szCs w:val="24"/>
          <w:lang w:val="en-US" w:eastAsia="zh-CN"/>
        </w:rPr>
        <w:t>甲方</w:t>
      </w:r>
      <w:r>
        <w:rPr>
          <w:rFonts w:hint="eastAsia" w:ascii="仿宋" w:hAnsi="仿宋" w:eastAsia="仿宋" w:cs="Times New Roman"/>
          <w:sz w:val="24"/>
          <w:szCs w:val="24"/>
        </w:rPr>
        <w:t>资质，检测费用由乙方承担。</w:t>
      </w:r>
    </w:p>
    <w:p w14:paraId="229E98FB">
      <w:pPr>
        <w:snapToGrid w:val="0"/>
        <w:ind w:firstLine="482" w:firstLineChars="200"/>
        <w:rPr>
          <w:rFonts w:ascii="仿宋" w:hAnsi="仿宋" w:eastAsia="仿宋"/>
          <w:b/>
          <w:sz w:val="24"/>
          <w:szCs w:val="24"/>
          <w:highlight w:val="none"/>
          <w:u w:val="none"/>
        </w:rPr>
      </w:pPr>
      <w:r>
        <w:rPr>
          <w:rFonts w:hint="eastAsia" w:ascii="仿宋" w:hAnsi="仿宋" w:eastAsia="仿宋"/>
          <w:b/>
          <w:sz w:val="24"/>
          <w:szCs w:val="24"/>
          <w:highlight w:val="none"/>
          <w:u w:val="none"/>
        </w:rPr>
        <w:t>5．不合格品的处理方式</w:t>
      </w:r>
    </w:p>
    <w:p w14:paraId="1DAEF249">
      <w:pPr>
        <w:ind w:firstLine="480" w:firstLineChars="200"/>
        <w:jc w:val="left"/>
        <w:rPr>
          <w:rFonts w:hint="eastAsia" w:ascii="仿宋" w:hAnsi="仿宋" w:eastAsia="仿宋" w:cs="Times New Roman"/>
          <w:sz w:val="24"/>
          <w:szCs w:val="24"/>
        </w:rPr>
      </w:pPr>
      <w:r>
        <w:rPr>
          <w:rFonts w:hint="eastAsia" w:ascii="仿宋" w:hAnsi="仿宋" w:eastAsia="仿宋" w:cs="Times New Roman"/>
          <w:sz w:val="24"/>
          <w:szCs w:val="24"/>
        </w:rPr>
        <w:t>5.1因乙方不合格品造成的质量问题，甲方按照本协议第6条的规定进行处理。乙方不得将退库处理的不合格品以次充好再次销售给甲方，如有违反，乙方应按照第6条的相关规定向甲方支付违约金。</w:t>
      </w:r>
    </w:p>
    <w:p w14:paraId="43749A3E">
      <w:pPr>
        <w:ind w:firstLine="480" w:firstLineChars="200"/>
        <w:jc w:val="left"/>
        <w:rPr>
          <w:rFonts w:hint="eastAsia" w:ascii="仿宋" w:hAnsi="仿宋" w:eastAsia="仿宋" w:cs="Times New Roman"/>
          <w:sz w:val="24"/>
          <w:szCs w:val="24"/>
        </w:rPr>
      </w:pPr>
      <w:r>
        <w:rPr>
          <w:rFonts w:hint="eastAsia" w:ascii="仿宋" w:hAnsi="仿宋" w:eastAsia="仿宋" w:cs="Times New Roman"/>
          <w:sz w:val="24"/>
          <w:szCs w:val="24"/>
        </w:rPr>
        <w:t>5.2乙方不得擅自向任何第三方销售不合格品。</w:t>
      </w:r>
    </w:p>
    <w:p w14:paraId="49715581">
      <w:pPr>
        <w:ind w:firstLine="480" w:firstLineChars="200"/>
        <w:jc w:val="left"/>
        <w:rPr>
          <w:rFonts w:hint="eastAsia" w:ascii="仿宋" w:hAnsi="仿宋" w:eastAsia="仿宋" w:cs="Times New Roman"/>
          <w:sz w:val="24"/>
          <w:szCs w:val="24"/>
        </w:rPr>
      </w:pPr>
      <w:r>
        <w:rPr>
          <w:rFonts w:hint="eastAsia" w:ascii="仿宋" w:hAnsi="仿宋" w:eastAsia="仿宋" w:cs="Times New Roman"/>
          <w:sz w:val="24"/>
          <w:szCs w:val="24"/>
        </w:rPr>
        <w:t>5.3甲方有权对乙方不合格品进行封存、隔离、报废、销毁或作永久性标识。</w:t>
      </w:r>
    </w:p>
    <w:p w14:paraId="0C867CC9">
      <w:pPr>
        <w:tabs>
          <w:tab w:val="left" w:pos="0"/>
        </w:tabs>
        <w:ind w:firstLine="482" w:firstLineChars="200"/>
        <w:rPr>
          <w:rFonts w:ascii="仿宋" w:hAnsi="仿宋" w:eastAsia="仿宋"/>
          <w:b/>
          <w:bCs/>
          <w:sz w:val="24"/>
          <w:szCs w:val="24"/>
          <w:highlight w:val="none"/>
          <w:u w:val="none"/>
        </w:rPr>
      </w:pPr>
      <w:r>
        <w:rPr>
          <w:rFonts w:hint="eastAsia" w:ascii="仿宋" w:hAnsi="仿宋" w:eastAsia="仿宋"/>
          <w:b/>
          <w:bCs/>
          <w:sz w:val="24"/>
          <w:szCs w:val="24"/>
          <w:highlight w:val="none"/>
          <w:u w:val="none"/>
        </w:rPr>
        <w:t>6</w:t>
      </w:r>
      <w:r>
        <w:rPr>
          <w:rFonts w:hint="eastAsia" w:ascii="仿宋" w:hAnsi="仿宋" w:eastAsia="仿宋" w:cs="Times New Roman"/>
          <w:b/>
          <w:sz w:val="24"/>
          <w:szCs w:val="24"/>
          <w:highlight w:val="none"/>
          <w:u w:val="none"/>
        </w:rPr>
        <w:t>．</w:t>
      </w:r>
      <w:r>
        <w:rPr>
          <w:rFonts w:hint="eastAsia" w:ascii="仿宋" w:hAnsi="仿宋" w:eastAsia="仿宋"/>
          <w:b/>
          <w:bCs/>
          <w:sz w:val="24"/>
          <w:szCs w:val="24"/>
          <w:highlight w:val="none"/>
          <w:u w:val="none"/>
        </w:rPr>
        <w:t>质量问题处理及索赔管理</w:t>
      </w:r>
    </w:p>
    <w:p w14:paraId="5D4AC76F">
      <w:pPr>
        <w:ind w:firstLine="480" w:firstLineChars="200"/>
        <w:jc w:val="left"/>
        <w:rPr>
          <w:rFonts w:hint="eastAsia" w:ascii="仿宋" w:hAnsi="仿宋" w:eastAsia="仿宋" w:cs="Times New Roman"/>
          <w:sz w:val="24"/>
          <w:szCs w:val="24"/>
        </w:rPr>
      </w:pPr>
      <w:r>
        <w:rPr>
          <w:rFonts w:hint="eastAsia" w:ascii="仿宋" w:hAnsi="仿宋" w:eastAsia="仿宋" w:cs="Times New Roman"/>
          <w:sz w:val="24"/>
          <w:szCs w:val="24"/>
        </w:rPr>
        <w:t>6.1质量问题处理</w:t>
      </w:r>
    </w:p>
    <w:p w14:paraId="1BB91273">
      <w:pPr>
        <w:ind w:firstLine="480" w:firstLineChars="200"/>
        <w:jc w:val="left"/>
        <w:rPr>
          <w:rFonts w:hint="eastAsia" w:ascii="仿宋" w:hAnsi="仿宋" w:eastAsia="仿宋" w:cs="Times New Roman"/>
          <w:sz w:val="24"/>
          <w:szCs w:val="24"/>
        </w:rPr>
      </w:pPr>
      <w:r>
        <w:rPr>
          <w:rFonts w:hint="eastAsia" w:ascii="仿宋" w:hAnsi="仿宋" w:eastAsia="仿宋" w:cs="Times New Roman"/>
          <w:sz w:val="24"/>
          <w:szCs w:val="24"/>
        </w:rPr>
        <w:t>乙方提供的产品在甲方进厂检验、使用过程中发生质量问题以及乙方在与甲方的业务往来各个环节存在不良行为的，乙方承担由此对甲方造成的经济损失，甲方有权在体系内通报。具体处置细则如下：</w:t>
      </w:r>
    </w:p>
    <w:p w14:paraId="7FCE6D04">
      <w:pPr>
        <w:ind w:firstLine="480" w:firstLineChars="200"/>
        <w:jc w:val="left"/>
        <w:rPr>
          <w:rFonts w:hint="eastAsia" w:ascii="仿宋" w:hAnsi="仿宋" w:eastAsia="仿宋" w:cs="Times New Roman"/>
          <w:sz w:val="24"/>
          <w:szCs w:val="24"/>
        </w:rPr>
      </w:pPr>
      <w:r>
        <w:rPr>
          <w:rFonts w:hint="eastAsia" w:ascii="仿宋" w:hAnsi="仿宋" w:eastAsia="仿宋" w:cs="Times New Roman"/>
          <w:sz w:val="24"/>
          <w:szCs w:val="24"/>
        </w:rPr>
        <w:t>6.1.1进货检验过程中工装不合格的处置：</w:t>
      </w:r>
    </w:p>
    <w:p w14:paraId="7D6187FC">
      <w:pPr>
        <w:ind w:firstLine="480" w:firstLineChars="200"/>
        <w:jc w:val="left"/>
        <w:rPr>
          <w:rFonts w:hint="eastAsia" w:ascii="仿宋" w:hAnsi="仿宋" w:eastAsia="仿宋" w:cs="Times New Roman"/>
          <w:sz w:val="24"/>
          <w:szCs w:val="24"/>
        </w:rPr>
      </w:pPr>
      <w:r>
        <w:rPr>
          <w:rFonts w:hint="eastAsia" w:ascii="仿宋" w:hAnsi="仿宋" w:eastAsia="仿宋" w:cs="Times New Roman"/>
          <w:sz w:val="24"/>
          <w:szCs w:val="24"/>
        </w:rPr>
        <w:t>6.1.1.1返工工装：对于轻微质量缺陷，经甲方技术质量部组织评审确认返工能够现场修复解决，且规定了返工指导标准、再检验标准的产品，定义为返工工装。</w:t>
      </w:r>
    </w:p>
    <w:p w14:paraId="761B8488">
      <w:pPr>
        <w:ind w:firstLine="480" w:firstLineChars="200"/>
        <w:jc w:val="left"/>
        <w:rPr>
          <w:rFonts w:hint="eastAsia" w:ascii="仿宋" w:hAnsi="仿宋" w:eastAsia="仿宋" w:cs="Times New Roman"/>
          <w:sz w:val="24"/>
          <w:szCs w:val="24"/>
        </w:rPr>
      </w:pPr>
      <w:r>
        <w:rPr>
          <w:rFonts w:hint="eastAsia" w:ascii="仿宋" w:hAnsi="仿宋" w:eastAsia="仿宋" w:cs="Times New Roman"/>
          <w:sz w:val="24"/>
          <w:szCs w:val="24"/>
        </w:rPr>
        <w:t xml:space="preserve">返工工装原则上由乙方在甲方现场返工，所发生的费用（包括工时费、材料费）由乙方承担。返工的工装，需做降价处理，降价幅度在返工工装原总价的5%—10%的幅度内确定，并按照降价后的价格支付货款，年周期内重复发生的加倍考核。其中： </w:t>
      </w:r>
    </w:p>
    <w:p w14:paraId="63423714">
      <w:pPr>
        <w:ind w:firstLine="480" w:firstLineChars="200"/>
        <w:jc w:val="left"/>
        <w:rPr>
          <w:rFonts w:hint="eastAsia" w:ascii="仿宋" w:hAnsi="仿宋" w:eastAsia="仿宋" w:cs="Times New Roman"/>
          <w:sz w:val="24"/>
          <w:szCs w:val="24"/>
        </w:rPr>
      </w:pPr>
      <w:r>
        <w:rPr>
          <w:rFonts w:hint="eastAsia" w:ascii="仿宋" w:hAnsi="仿宋" w:eastAsia="仿宋" w:cs="Times New Roman"/>
          <w:sz w:val="24"/>
          <w:szCs w:val="24"/>
        </w:rPr>
        <w:t>1）该批返工工装单件进货结算价值≥50000元时，按5%确定；</w:t>
      </w:r>
    </w:p>
    <w:p w14:paraId="7197206D">
      <w:pPr>
        <w:ind w:firstLine="480" w:firstLineChars="200"/>
        <w:jc w:val="left"/>
        <w:rPr>
          <w:rFonts w:hint="eastAsia" w:ascii="仿宋" w:hAnsi="仿宋" w:eastAsia="仿宋" w:cs="Times New Roman"/>
          <w:sz w:val="24"/>
          <w:szCs w:val="24"/>
        </w:rPr>
      </w:pPr>
      <w:r>
        <w:rPr>
          <w:rFonts w:hint="eastAsia" w:ascii="仿宋" w:hAnsi="仿宋" w:eastAsia="仿宋" w:cs="Times New Roman"/>
          <w:sz w:val="24"/>
          <w:szCs w:val="24"/>
        </w:rPr>
        <w:t>2）该批返工工装单件进货结算价值＜50000元，≥10000元时，按6%确定；</w:t>
      </w:r>
    </w:p>
    <w:p w14:paraId="66A16919">
      <w:pPr>
        <w:ind w:firstLine="480" w:firstLineChars="200"/>
        <w:jc w:val="left"/>
        <w:rPr>
          <w:rFonts w:hint="eastAsia" w:ascii="仿宋" w:hAnsi="仿宋" w:eastAsia="仿宋" w:cs="Times New Roman"/>
          <w:sz w:val="24"/>
          <w:szCs w:val="24"/>
        </w:rPr>
      </w:pPr>
      <w:r>
        <w:rPr>
          <w:rFonts w:hint="eastAsia" w:ascii="仿宋" w:hAnsi="仿宋" w:eastAsia="仿宋" w:cs="Times New Roman"/>
          <w:sz w:val="24"/>
          <w:szCs w:val="24"/>
        </w:rPr>
        <w:t>3）该批返工工装单件进货结算价值＜10000元时，按10%确定。</w:t>
      </w:r>
    </w:p>
    <w:p w14:paraId="5D8FB2B8">
      <w:pPr>
        <w:ind w:firstLine="480" w:firstLineChars="200"/>
        <w:jc w:val="left"/>
        <w:rPr>
          <w:rFonts w:hint="eastAsia" w:ascii="仿宋" w:hAnsi="仿宋" w:eastAsia="仿宋" w:cs="Times New Roman"/>
          <w:sz w:val="24"/>
          <w:szCs w:val="24"/>
        </w:rPr>
      </w:pPr>
      <w:r>
        <w:rPr>
          <w:rFonts w:hint="eastAsia" w:ascii="仿宋" w:hAnsi="仿宋" w:eastAsia="仿宋" w:cs="Times New Roman"/>
          <w:sz w:val="24"/>
          <w:szCs w:val="24"/>
        </w:rPr>
        <w:t>6.1.1.2退货：工装存在不可接受的质量不合格项，经甲方技术质量部组织评审确认，不能现场返工的工装，定义为退货工装。因退货所造成甲方的一切损失（包括潜在的损失）由乙方承担，按该批次产品总价值的10%-30%对乙方进行考核，年周期内重复发生的加倍考核。其中：</w:t>
      </w:r>
    </w:p>
    <w:p w14:paraId="23CFB063">
      <w:pPr>
        <w:ind w:firstLine="480" w:firstLineChars="200"/>
        <w:jc w:val="left"/>
        <w:rPr>
          <w:rFonts w:hint="eastAsia" w:ascii="仿宋" w:hAnsi="仿宋" w:eastAsia="仿宋" w:cs="Times New Roman"/>
          <w:sz w:val="24"/>
          <w:szCs w:val="24"/>
        </w:rPr>
      </w:pPr>
      <w:r>
        <w:rPr>
          <w:rFonts w:hint="eastAsia" w:ascii="仿宋" w:hAnsi="仿宋" w:eastAsia="仿宋" w:cs="Times New Roman"/>
          <w:sz w:val="24"/>
          <w:szCs w:val="24"/>
        </w:rPr>
        <w:t>1）该批退货工装单件进货结算价值≥50000元时，按10%确定；</w:t>
      </w:r>
    </w:p>
    <w:p w14:paraId="036625AB">
      <w:pPr>
        <w:ind w:firstLine="480" w:firstLineChars="200"/>
        <w:jc w:val="left"/>
        <w:rPr>
          <w:rFonts w:hint="eastAsia" w:ascii="仿宋" w:hAnsi="仿宋" w:eastAsia="仿宋" w:cs="Times New Roman"/>
          <w:sz w:val="24"/>
          <w:szCs w:val="24"/>
        </w:rPr>
      </w:pPr>
      <w:r>
        <w:rPr>
          <w:rFonts w:hint="eastAsia" w:ascii="仿宋" w:hAnsi="仿宋" w:eastAsia="仿宋" w:cs="Times New Roman"/>
          <w:sz w:val="24"/>
          <w:szCs w:val="24"/>
        </w:rPr>
        <w:t>2）该批退货工装单件进货结算价值＜50000元，≥10000元时，按20%确定；</w:t>
      </w:r>
    </w:p>
    <w:p w14:paraId="001184DB">
      <w:pPr>
        <w:ind w:firstLine="480" w:firstLineChars="200"/>
        <w:jc w:val="left"/>
        <w:rPr>
          <w:rFonts w:hint="eastAsia" w:ascii="仿宋" w:hAnsi="仿宋" w:eastAsia="仿宋" w:cs="Times New Roman"/>
          <w:sz w:val="24"/>
          <w:szCs w:val="24"/>
        </w:rPr>
      </w:pPr>
      <w:r>
        <w:rPr>
          <w:rFonts w:hint="eastAsia" w:ascii="仿宋" w:hAnsi="仿宋" w:eastAsia="仿宋" w:cs="Times New Roman"/>
          <w:sz w:val="24"/>
          <w:szCs w:val="24"/>
        </w:rPr>
        <w:t>3）该批退货工装单件进货结算价值＜10000元时，按30%确定。</w:t>
      </w:r>
    </w:p>
    <w:p w14:paraId="66CD7181">
      <w:pPr>
        <w:ind w:firstLine="480" w:firstLineChars="200"/>
        <w:jc w:val="left"/>
        <w:rPr>
          <w:rFonts w:hint="eastAsia" w:ascii="仿宋" w:hAnsi="仿宋" w:eastAsia="仿宋" w:cs="Times New Roman"/>
          <w:sz w:val="24"/>
          <w:szCs w:val="24"/>
        </w:rPr>
      </w:pPr>
      <w:r>
        <w:rPr>
          <w:rFonts w:hint="eastAsia" w:ascii="仿宋" w:hAnsi="仿宋" w:eastAsia="仿宋" w:cs="Times New Roman"/>
          <w:sz w:val="24"/>
          <w:szCs w:val="24"/>
        </w:rPr>
        <w:t>乙方退货后未按要求对工装进行处理即重新入库，造成同样问题二次不合格的，视情况追加5000-50000元的考核。</w:t>
      </w:r>
    </w:p>
    <w:p w14:paraId="00C60D82">
      <w:pPr>
        <w:ind w:firstLine="480" w:firstLineChars="200"/>
        <w:jc w:val="left"/>
        <w:rPr>
          <w:rFonts w:hint="eastAsia" w:ascii="仿宋" w:hAnsi="仿宋" w:eastAsia="仿宋" w:cs="Times New Roman"/>
          <w:sz w:val="24"/>
          <w:szCs w:val="24"/>
        </w:rPr>
      </w:pPr>
      <w:r>
        <w:rPr>
          <w:rFonts w:hint="eastAsia" w:ascii="仿宋" w:hAnsi="仿宋" w:eastAsia="仿宋" w:cs="Times New Roman"/>
          <w:sz w:val="24"/>
          <w:szCs w:val="24"/>
        </w:rPr>
        <w:t>6.1.2现场使用中工装不合格的处置:</w:t>
      </w:r>
    </w:p>
    <w:p w14:paraId="579A2BC3">
      <w:pPr>
        <w:ind w:firstLine="480" w:firstLineChars="200"/>
        <w:jc w:val="left"/>
        <w:rPr>
          <w:rFonts w:hint="eastAsia" w:ascii="仿宋" w:hAnsi="仿宋" w:eastAsia="仿宋" w:cs="Times New Roman"/>
          <w:sz w:val="24"/>
          <w:szCs w:val="24"/>
        </w:rPr>
      </w:pPr>
      <w:r>
        <w:rPr>
          <w:rFonts w:hint="eastAsia" w:ascii="仿宋" w:hAnsi="仿宋" w:eastAsia="仿宋" w:cs="Times New Roman"/>
          <w:sz w:val="24"/>
          <w:szCs w:val="24"/>
        </w:rPr>
        <w:t>6.1.2.1因乙方工装上场首件验证不合格,由甲方技术质量部组织技术、制造、使用部门鉴定为乙方责任后，原则上按6.1.1.2条款处理，甲方使用单位所发生的动能费用、工人工时、材料费全部由乙方承担。</w:t>
      </w:r>
    </w:p>
    <w:p w14:paraId="0F97DC7C">
      <w:pPr>
        <w:ind w:firstLine="480" w:firstLineChars="200"/>
        <w:jc w:val="left"/>
        <w:rPr>
          <w:rFonts w:hint="eastAsia" w:ascii="仿宋" w:hAnsi="仿宋" w:eastAsia="仿宋" w:cs="Times New Roman"/>
          <w:sz w:val="24"/>
          <w:szCs w:val="24"/>
        </w:rPr>
      </w:pPr>
      <w:r>
        <w:rPr>
          <w:rFonts w:hint="eastAsia" w:ascii="仿宋" w:hAnsi="仿宋" w:eastAsia="仿宋" w:cs="Times New Roman"/>
          <w:sz w:val="24"/>
          <w:szCs w:val="24"/>
        </w:rPr>
        <w:t>6.1.2.2因工装自身质量原因造成实际使用寿命达不到承诺寿命时，由乙方承担甲方生产过程中出现的不良品损失以及其他相关损失。甲方质量部门组织评审、处理问题工装，其中：</w:t>
      </w:r>
    </w:p>
    <w:p w14:paraId="2DACA9AD">
      <w:pPr>
        <w:ind w:firstLine="480" w:firstLineChars="200"/>
        <w:jc w:val="left"/>
        <w:rPr>
          <w:rFonts w:hint="eastAsia" w:ascii="仿宋" w:hAnsi="仿宋" w:eastAsia="仿宋" w:cs="Times New Roman"/>
          <w:sz w:val="24"/>
          <w:szCs w:val="24"/>
        </w:rPr>
      </w:pPr>
      <w:r>
        <w:rPr>
          <w:rFonts w:hint="eastAsia" w:ascii="仿宋" w:hAnsi="仿宋" w:eastAsia="仿宋" w:cs="Times New Roman"/>
          <w:sz w:val="24"/>
          <w:szCs w:val="24"/>
        </w:rPr>
        <w:t>1）维修后可继续正常使用的，派工原厂家对工装进行无偿返厂维修，并根据工装使用情况与工装价值对乙方进行考核，年周期内重复发生的加倍考核。返修工装使用寿命不足技术定额的30%时，寿命重新计算；返修工装使用寿命大于技术定额的30%时，寿命累计。</w:t>
      </w:r>
    </w:p>
    <w:p w14:paraId="237A1980">
      <w:pPr>
        <w:ind w:firstLine="480" w:firstLineChars="200"/>
        <w:jc w:val="left"/>
        <w:rPr>
          <w:rFonts w:hint="eastAsia" w:ascii="仿宋" w:hAnsi="仿宋" w:eastAsia="仿宋" w:cs="Times New Roman"/>
          <w:sz w:val="24"/>
          <w:szCs w:val="24"/>
        </w:rPr>
      </w:pPr>
      <w:r>
        <w:rPr>
          <w:rFonts w:hint="eastAsia" w:ascii="仿宋" w:hAnsi="仿宋" w:eastAsia="仿宋" w:cs="Times New Roman"/>
          <w:sz w:val="24"/>
          <w:szCs w:val="24"/>
        </w:rPr>
        <w:t>2）经评审工装无继续使用价值的，按（承诺寿命-实际使用寿命）/承诺寿命×合同价进行索赔，并根据工装使用情况与工装价值对乙方进行考核，年周期内重复发生的加倍考核。</w:t>
      </w:r>
    </w:p>
    <w:p w14:paraId="0B024DF7">
      <w:pPr>
        <w:ind w:firstLine="480" w:firstLineChars="200"/>
        <w:jc w:val="left"/>
        <w:rPr>
          <w:rFonts w:hint="eastAsia" w:ascii="仿宋" w:hAnsi="仿宋" w:eastAsia="仿宋" w:cs="Times New Roman"/>
          <w:sz w:val="24"/>
          <w:szCs w:val="24"/>
        </w:rPr>
      </w:pPr>
      <w:r>
        <w:rPr>
          <w:rFonts w:hint="eastAsia" w:ascii="仿宋" w:hAnsi="仿宋" w:eastAsia="仿宋" w:cs="Times New Roman"/>
          <w:sz w:val="24"/>
          <w:szCs w:val="24"/>
        </w:rPr>
        <w:t>3）若连续两次发生寿命达不到技术定额，按质量协议处理后，甲方有权将该供方份额下调；连续三次发生，甲方有权直接取消供方该标的组的供货份额。</w:t>
      </w:r>
    </w:p>
    <w:p w14:paraId="35240617">
      <w:pPr>
        <w:snapToGrid w:val="0"/>
        <w:ind w:firstLine="480" w:firstLineChars="200"/>
        <w:rPr>
          <w:rFonts w:ascii="仿宋" w:hAnsi="仿宋" w:eastAsia="仿宋"/>
          <w:sz w:val="24"/>
          <w:szCs w:val="24"/>
          <w:highlight w:val="none"/>
          <w:u w:val="none"/>
        </w:rPr>
      </w:pPr>
    </w:p>
    <w:p w14:paraId="40366194">
      <w:pPr>
        <w:snapToGrid w:val="0"/>
        <w:ind w:firstLine="480" w:firstLineChars="200"/>
        <w:rPr>
          <w:rFonts w:ascii="仿宋" w:hAnsi="仿宋" w:eastAsia="仿宋"/>
          <w:sz w:val="24"/>
          <w:szCs w:val="24"/>
          <w:highlight w:val="none"/>
          <w:u w:val="none"/>
        </w:rPr>
      </w:pPr>
      <w:r>
        <w:rPr>
          <w:rFonts w:hint="eastAsia" w:ascii="仿宋" w:hAnsi="仿宋" w:eastAsia="仿宋"/>
          <w:sz w:val="24"/>
          <w:szCs w:val="24"/>
          <w:highlight w:val="none"/>
          <w:u w:val="none"/>
        </w:rPr>
        <w:t>考核方案如下：</w:t>
      </w:r>
    </w:p>
    <w:p w14:paraId="0EB464AF">
      <w:pPr>
        <w:snapToGrid w:val="0"/>
        <w:ind w:firstLine="480" w:firstLineChars="200"/>
        <w:rPr>
          <w:rFonts w:ascii="仿宋" w:hAnsi="仿宋" w:eastAsia="仿宋"/>
          <w:sz w:val="24"/>
          <w:szCs w:val="24"/>
          <w:highlight w:val="none"/>
          <w:u w:val="none"/>
        </w:rPr>
      </w:pPr>
    </w:p>
    <w:tbl>
      <w:tblPr>
        <w:tblStyle w:val="31"/>
        <w:tblW w:w="1079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71"/>
        <w:gridCol w:w="2510"/>
        <w:gridCol w:w="2918"/>
        <w:gridCol w:w="1418"/>
        <w:gridCol w:w="1410"/>
        <w:gridCol w:w="1563"/>
      </w:tblGrid>
      <w:tr w14:paraId="7E240D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34" w:hRule="atLeast"/>
          <w:jc w:val="center"/>
        </w:trPr>
        <w:tc>
          <w:tcPr>
            <w:tcW w:w="971" w:type="dxa"/>
            <w:noWrap w:val="0"/>
            <w:vAlign w:val="center"/>
          </w:tcPr>
          <w:p w14:paraId="37B4536E">
            <w:pPr>
              <w:snapToGrid w:val="0"/>
              <w:jc w:val="center"/>
              <w:rPr>
                <w:rFonts w:ascii="仿宋" w:hAnsi="仿宋" w:eastAsia="仿宋"/>
                <w:sz w:val="24"/>
                <w:szCs w:val="24"/>
                <w:highlight w:val="none"/>
                <w:u w:val="none"/>
              </w:rPr>
            </w:pPr>
            <w:r>
              <w:rPr>
                <w:rFonts w:hint="eastAsia" w:ascii="仿宋" w:hAnsi="仿宋" w:eastAsia="仿宋"/>
                <w:sz w:val="24"/>
                <w:szCs w:val="24"/>
                <w:highlight w:val="none"/>
                <w:u w:val="none"/>
              </w:rPr>
              <w:t>使用寿命</w:t>
            </w:r>
          </w:p>
        </w:tc>
        <w:tc>
          <w:tcPr>
            <w:tcW w:w="2510" w:type="dxa"/>
            <w:noWrap w:val="0"/>
            <w:vAlign w:val="center"/>
          </w:tcPr>
          <w:p w14:paraId="4E4974B2">
            <w:pPr>
              <w:snapToGrid w:val="0"/>
              <w:ind w:firstLine="480" w:firstLineChars="200"/>
              <w:rPr>
                <w:rFonts w:ascii="仿宋" w:hAnsi="仿宋" w:eastAsia="仿宋"/>
                <w:sz w:val="24"/>
                <w:szCs w:val="24"/>
                <w:highlight w:val="none"/>
                <w:u w:val="none"/>
              </w:rPr>
            </w:pPr>
            <w:r>
              <w:rPr>
                <w:rFonts w:hint="eastAsia" w:ascii="仿宋" w:hAnsi="仿宋" w:eastAsia="仿宋"/>
                <w:sz w:val="24"/>
                <w:szCs w:val="24"/>
                <w:highlight w:val="none"/>
                <w:u w:val="none"/>
              </w:rPr>
              <w:t>实际使用寿命＜技术定额的30%</w:t>
            </w:r>
          </w:p>
        </w:tc>
        <w:tc>
          <w:tcPr>
            <w:tcW w:w="2918" w:type="dxa"/>
            <w:noWrap w:val="0"/>
            <w:vAlign w:val="center"/>
          </w:tcPr>
          <w:p w14:paraId="062C0659">
            <w:pPr>
              <w:snapToGrid w:val="0"/>
              <w:ind w:firstLine="480" w:firstLineChars="200"/>
              <w:rPr>
                <w:rFonts w:ascii="仿宋" w:hAnsi="仿宋" w:eastAsia="仿宋"/>
                <w:sz w:val="24"/>
                <w:szCs w:val="24"/>
                <w:highlight w:val="none"/>
                <w:u w:val="none"/>
              </w:rPr>
            </w:pPr>
            <w:r>
              <w:rPr>
                <w:rFonts w:hint="eastAsia" w:ascii="仿宋" w:hAnsi="仿宋" w:eastAsia="仿宋"/>
                <w:sz w:val="24"/>
                <w:szCs w:val="24"/>
                <w:highlight w:val="none"/>
                <w:u w:val="none"/>
              </w:rPr>
              <w:t>技术定额的30%≤实际使用寿命＜技术定额的50%</w:t>
            </w:r>
          </w:p>
        </w:tc>
        <w:tc>
          <w:tcPr>
            <w:tcW w:w="1418" w:type="dxa"/>
            <w:noWrap w:val="0"/>
            <w:vAlign w:val="center"/>
          </w:tcPr>
          <w:p w14:paraId="0FF7FAFC">
            <w:pPr>
              <w:snapToGrid w:val="0"/>
              <w:ind w:firstLine="480" w:firstLineChars="200"/>
              <w:rPr>
                <w:rFonts w:ascii="仿宋" w:hAnsi="仿宋" w:eastAsia="仿宋"/>
                <w:sz w:val="24"/>
                <w:szCs w:val="24"/>
                <w:highlight w:val="none"/>
                <w:u w:val="none"/>
              </w:rPr>
            </w:pPr>
            <w:r>
              <w:rPr>
                <w:rFonts w:hint="eastAsia" w:ascii="仿宋" w:hAnsi="仿宋" w:eastAsia="仿宋"/>
                <w:sz w:val="24"/>
                <w:szCs w:val="24"/>
                <w:highlight w:val="none"/>
                <w:u w:val="none"/>
              </w:rPr>
              <w:t>技术定额的50%≤实际使用寿命≤技术定额的80%</w:t>
            </w:r>
          </w:p>
        </w:tc>
        <w:tc>
          <w:tcPr>
            <w:tcW w:w="1410" w:type="dxa"/>
            <w:noWrap w:val="0"/>
            <w:vAlign w:val="center"/>
          </w:tcPr>
          <w:p w14:paraId="24F34F4C">
            <w:pPr>
              <w:snapToGrid w:val="0"/>
              <w:ind w:firstLine="480" w:firstLineChars="200"/>
              <w:rPr>
                <w:rFonts w:ascii="仿宋" w:hAnsi="仿宋" w:eastAsia="仿宋"/>
                <w:sz w:val="24"/>
                <w:szCs w:val="24"/>
                <w:highlight w:val="none"/>
                <w:u w:val="none"/>
              </w:rPr>
            </w:pPr>
            <w:r>
              <w:rPr>
                <w:rFonts w:hint="eastAsia" w:ascii="仿宋" w:hAnsi="仿宋" w:eastAsia="仿宋"/>
                <w:sz w:val="24"/>
                <w:szCs w:val="24"/>
                <w:highlight w:val="none"/>
                <w:u w:val="none"/>
              </w:rPr>
              <w:t>实际使用寿命≥技术定额的80%</w:t>
            </w:r>
          </w:p>
        </w:tc>
        <w:tc>
          <w:tcPr>
            <w:tcW w:w="1563" w:type="dxa"/>
            <w:noWrap w:val="0"/>
            <w:vAlign w:val="center"/>
          </w:tcPr>
          <w:p w14:paraId="34C6EC0A">
            <w:pPr>
              <w:snapToGrid w:val="0"/>
              <w:rPr>
                <w:rFonts w:ascii="仿宋_GB2312" w:eastAsia="仿宋_GB2312"/>
                <w:sz w:val="24"/>
                <w:highlight w:val="none"/>
                <w:u w:val="none"/>
              </w:rPr>
            </w:pPr>
            <w:r>
              <w:rPr>
                <w:rFonts w:hint="eastAsia" w:ascii="仿宋_GB2312" w:eastAsia="仿宋_GB2312"/>
                <w:sz w:val="24"/>
                <w:highlight w:val="none"/>
                <w:u w:val="none"/>
              </w:rPr>
              <w:t>技术定额≤实际使用寿命＜承诺寿命</w:t>
            </w:r>
          </w:p>
        </w:tc>
      </w:tr>
      <w:tr w14:paraId="7607A7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79" w:hRule="atLeast"/>
          <w:jc w:val="center"/>
        </w:trPr>
        <w:tc>
          <w:tcPr>
            <w:tcW w:w="971" w:type="dxa"/>
            <w:noWrap w:val="0"/>
            <w:vAlign w:val="center"/>
          </w:tcPr>
          <w:p w14:paraId="1EE4A575">
            <w:pPr>
              <w:snapToGrid w:val="0"/>
              <w:jc w:val="center"/>
              <w:rPr>
                <w:rFonts w:ascii="仿宋" w:hAnsi="仿宋" w:eastAsia="仿宋"/>
                <w:sz w:val="24"/>
                <w:szCs w:val="24"/>
                <w:highlight w:val="none"/>
                <w:u w:val="none"/>
              </w:rPr>
            </w:pPr>
            <w:r>
              <w:rPr>
                <w:rFonts w:hint="eastAsia" w:ascii="仿宋" w:hAnsi="仿宋" w:eastAsia="仿宋"/>
                <w:sz w:val="24"/>
                <w:szCs w:val="24"/>
                <w:highlight w:val="none"/>
                <w:u w:val="none"/>
              </w:rPr>
              <w:t>考核方案</w:t>
            </w:r>
          </w:p>
        </w:tc>
        <w:tc>
          <w:tcPr>
            <w:tcW w:w="2510" w:type="dxa"/>
            <w:noWrap w:val="0"/>
            <w:vAlign w:val="center"/>
          </w:tcPr>
          <w:p w14:paraId="267F64B0">
            <w:pPr>
              <w:numPr>
                <w:ilvl w:val="0"/>
                <w:numId w:val="27"/>
              </w:numPr>
              <w:snapToGrid w:val="0"/>
              <w:ind w:firstLine="480" w:firstLineChars="200"/>
              <w:rPr>
                <w:rFonts w:ascii="仿宋" w:hAnsi="仿宋" w:eastAsia="仿宋"/>
                <w:sz w:val="24"/>
                <w:szCs w:val="24"/>
                <w:highlight w:val="none"/>
                <w:u w:val="none"/>
              </w:rPr>
            </w:pPr>
            <w:r>
              <w:rPr>
                <w:rFonts w:hint="eastAsia" w:ascii="仿宋" w:hAnsi="仿宋" w:eastAsia="仿宋"/>
                <w:sz w:val="24"/>
                <w:szCs w:val="24"/>
                <w:highlight w:val="none"/>
                <w:u w:val="none"/>
              </w:rPr>
              <w:t>维修后可以继续使用的工装，乙方无偿返修，返修后重新计算寿命；</w:t>
            </w:r>
          </w:p>
          <w:p w14:paraId="68E1547A">
            <w:pPr>
              <w:numPr>
                <w:ilvl w:val="0"/>
                <w:numId w:val="27"/>
              </w:numPr>
              <w:snapToGrid w:val="0"/>
              <w:ind w:firstLine="480" w:firstLineChars="200"/>
              <w:rPr>
                <w:rFonts w:ascii="仿宋" w:hAnsi="仿宋" w:eastAsia="仿宋"/>
                <w:sz w:val="24"/>
                <w:szCs w:val="24"/>
                <w:highlight w:val="none"/>
                <w:u w:val="none"/>
              </w:rPr>
            </w:pPr>
            <w:r>
              <w:rPr>
                <w:rFonts w:hint="eastAsia" w:ascii="仿宋" w:hAnsi="仿宋" w:eastAsia="仿宋"/>
                <w:sz w:val="24"/>
                <w:szCs w:val="24"/>
                <w:highlight w:val="none"/>
                <w:u w:val="none"/>
              </w:rPr>
              <w:t>无法继续使用的工装，乙方免费更换新制模具，重新计算寿命；</w:t>
            </w:r>
          </w:p>
          <w:p w14:paraId="4F1C644D">
            <w:pPr>
              <w:numPr>
                <w:ilvl w:val="0"/>
                <w:numId w:val="27"/>
              </w:numPr>
              <w:snapToGrid w:val="0"/>
              <w:ind w:firstLine="480" w:firstLineChars="200"/>
              <w:rPr>
                <w:rFonts w:ascii="仿宋" w:hAnsi="仿宋" w:eastAsia="仿宋"/>
                <w:sz w:val="24"/>
                <w:szCs w:val="24"/>
                <w:highlight w:val="none"/>
                <w:u w:val="none"/>
              </w:rPr>
            </w:pPr>
            <w:r>
              <w:rPr>
                <w:rFonts w:hint="eastAsia" w:ascii="仿宋" w:hAnsi="仿宋" w:eastAsia="仿宋"/>
                <w:sz w:val="24"/>
                <w:szCs w:val="24"/>
                <w:highlight w:val="none"/>
                <w:u w:val="none"/>
              </w:rPr>
              <w:t>视对甲方生产的影响，按6.2.7条考核。</w:t>
            </w:r>
          </w:p>
        </w:tc>
        <w:tc>
          <w:tcPr>
            <w:tcW w:w="2918" w:type="dxa"/>
            <w:noWrap w:val="0"/>
            <w:vAlign w:val="center"/>
          </w:tcPr>
          <w:p w14:paraId="0166730E">
            <w:pPr>
              <w:snapToGrid w:val="0"/>
              <w:ind w:firstLine="480" w:firstLineChars="200"/>
              <w:rPr>
                <w:rFonts w:ascii="仿宋" w:hAnsi="仿宋" w:eastAsia="仿宋"/>
                <w:sz w:val="24"/>
                <w:szCs w:val="24"/>
                <w:highlight w:val="none"/>
                <w:u w:val="none"/>
              </w:rPr>
            </w:pPr>
            <w:r>
              <w:rPr>
                <w:rFonts w:hint="eastAsia" w:ascii="仿宋" w:hAnsi="仿宋" w:eastAsia="仿宋"/>
                <w:sz w:val="24"/>
                <w:szCs w:val="24"/>
                <w:highlight w:val="none"/>
                <w:u w:val="none"/>
              </w:rPr>
              <w:t>1）工装进货结算价值≥50000元时，按该工装合同价（整付价格）的10%考核；</w:t>
            </w:r>
          </w:p>
          <w:p w14:paraId="37C8D6C1">
            <w:pPr>
              <w:snapToGrid w:val="0"/>
              <w:ind w:firstLine="480" w:firstLineChars="200"/>
              <w:rPr>
                <w:rFonts w:ascii="仿宋" w:hAnsi="仿宋" w:eastAsia="仿宋"/>
                <w:sz w:val="24"/>
                <w:szCs w:val="24"/>
                <w:highlight w:val="none"/>
                <w:u w:val="none"/>
              </w:rPr>
            </w:pPr>
            <w:r>
              <w:rPr>
                <w:rFonts w:hint="eastAsia" w:ascii="仿宋" w:hAnsi="仿宋" w:eastAsia="仿宋"/>
                <w:sz w:val="24"/>
                <w:szCs w:val="24"/>
                <w:highlight w:val="none"/>
                <w:u w:val="none"/>
              </w:rPr>
              <w:t>2）工装进货结算价值＜50000元，≥10000元时，按该工装合同价（整付价格）的20%确定；</w:t>
            </w:r>
          </w:p>
          <w:p w14:paraId="23DB62EB">
            <w:pPr>
              <w:snapToGrid w:val="0"/>
              <w:ind w:firstLine="480" w:firstLineChars="200"/>
              <w:rPr>
                <w:rFonts w:ascii="仿宋" w:hAnsi="仿宋" w:eastAsia="仿宋"/>
                <w:sz w:val="24"/>
                <w:szCs w:val="24"/>
                <w:highlight w:val="none"/>
                <w:u w:val="none"/>
              </w:rPr>
            </w:pPr>
            <w:r>
              <w:rPr>
                <w:rFonts w:hint="eastAsia" w:ascii="仿宋" w:hAnsi="仿宋" w:eastAsia="仿宋"/>
                <w:sz w:val="24"/>
                <w:szCs w:val="24"/>
                <w:highlight w:val="none"/>
                <w:u w:val="none"/>
              </w:rPr>
              <w:t>3）工装进货结算价值＜10000元时，按该工装合同价（整付价格）的30%确定。</w:t>
            </w:r>
          </w:p>
        </w:tc>
        <w:tc>
          <w:tcPr>
            <w:tcW w:w="1418" w:type="dxa"/>
            <w:noWrap w:val="0"/>
            <w:vAlign w:val="center"/>
          </w:tcPr>
          <w:p w14:paraId="37822CBB">
            <w:pPr>
              <w:snapToGrid w:val="0"/>
              <w:rPr>
                <w:rFonts w:ascii="仿宋" w:hAnsi="仿宋" w:eastAsia="仿宋"/>
                <w:sz w:val="24"/>
                <w:szCs w:val="24"/>
                <w:highlight w:val="none"/>
                <w:u w:val="none"/>
              </w:rPr>
            </w:pPr>
            <w:r>
              <w:rPr>
                <w:rFonts w:hint="eastAsia" w:ascii="仿宋" w:hAnsi="仿宋" w:eastAsia="仿宋"/>
                <w:sz w:val="24"/>
                <w:szCs w:val="24"/>
                <w:highlight w:val="none"/>
                <w:u w:val="none"/>
              </w:rPr>
              <w:t>按该工装合同价（整付价格）的5%考核</w:t>
            </w:r>
          </w:p>
        </w:tc>
        <w:tc>
          <w:tcPr>
            <w:tcW w:w="1410" w:type="dxa"/>
            <w:noWrap w:val="0"/>
            <w:vAlign w:val="center"/>
          </w:tcPr>
          <w:p w14:paraId="74E99EEB">
            <w:pPr>
              <w:snapToGrid w:val="0"/>
              <w:rPr>
                <w:rFonts w:ascii="仿宋" w:hAnsi="仿宋" w:eastAsia="仿宋"/>
                <w:sz w:val="24"/>
                <w:szCs w:val="24"/>
                <w:highlight w:val="none"/>
                <w:u w:val="none"/>
              </w:rPr>
            </w:pPr>
            <w:r>
              <w:rPr>
                <w:rFonts w:hint="eastAsia" w:ascii="仿宋_GB2312" w:eastAsia="仿宋_GB2312"/>
                <w:sz w:val="24"/>
                <w:highlight w:val="none"/>
                <w:u w:val="none"/>
              </w:rPr>
              <w:t>按</w:t>
            </w:r>
            <w:r>
              <w:rPr>
                <w:rFonts w:ascii="仿宋_GB2312" w:eastAsia="仿宋_GB2312"/>
                <w:sz w:val="24"/>
                <w:highlight w:val="none"/>
                <w:u w:val="none"/>
              </w:rPr>
              <w:t>该工装合同价</w:t>
            </w:r>
            <w:r>
              <w:rPr>
                <w:rFonts w:hint="eastAsia" w:ascii="仿宋" w:hAnsi="仿宋" w:eastAsia="仿宋"/>
                <w:sz w:val="24"/>
                <w:szCs w:val="24"/>
                <w:highlight w:val="none"/>
                <w:u w:val="none"/>
              </w:rPr>
              <w:t>（整付价格）</w:t>
            </w:r>
            <w:r>
              <w:rPr>
                <w:rFonts w:ascii="仿宋_GB2312" w:eastAsia="仿宋_GB2312"/>
                <w:sz w:val="24"/>
                <w:highlight w:val="none"/>
                <w:u w:val="none"/>
              </w:rPr>
              <w:t>的</w:t>
            </w:r>
            <w:r>
              <w:rPr>
                <w:rFonts w:hint="eastAsia" w:ascii="仿宋_GB2312" w:eastAsia="仿宋_GB2312"/>
                <w:sz w:val="24"/>
                <w:highlight w:val="none"/>
                <w:u w:val="none"/>
              </w:rPr>
              <w:t>2</w:t>
            </w:r>
            <w:r>
              <w:rPr>
                <w:rFonts w:ascii="仿宋_GB2312" w:eastAsia="仿宋_GB2312"/>
                <w:sz w:val="24"/>
                <w:highlight w:val="none"/>
                <w:u w:val="none"/>
              </w:rPr>
              <w:t>%</w:t>
            </w:r>
            <w:r>
              <w:rPr>
                <w:rFonts w:hint="eastAsia" w:ascii="仿宋_GB2312" w:eastAsia="仿宋_GB2312"/>
                <w:sz w:val="24"/>
                <w:highlight w:val="none"/>
                <w:u w:val="none"/>
              </w:rPr>
              <w:t>考核</w:t>
            </w:r>
          </w:p>
        </w:tc>
        <w:tc>
          <w:tcPr>
            <w:tcW w:w="1563" w:type="dxa"/>
            <w:noWrap w:val="0"/>
            <w:vAlign w:val="center"/>
          </w:tcPr>
          <w:p w14:paraId="6A581089">
            <w:pPr>
              <w:snapToGrid w:val="0"/>
              <w:rPr>
                <w:rFonts w:ascii="仿宋_GB2312" w:eastAsia="仿宋_GB2312"/>
                <w:sz w:val="24"/>
                <w:highlight w:val="none"/>
                <w:u w:val="none"/>
              </w:rPr>
            </w:pPr>
            <w:r>
              <w:rPr>
                <w:rFonts w:hint="eastAsia" w:ascii="仿宋_GB2312" w:eastAsia="仿宋_GB2312"/>
                <w:sz w:val="24"/>
                <w:highlight w:val="none"/>
                <w:u w:val="none"/>
              </w:rPr>
              <w:t>按6.1.2.2第二条：（承诺寿命﹣实际使用寿命）/承诺寿命×合同价进行索赔</w:t>
            </w:r>
          </w:p>
        </w:tc>
      </w:tr>
    </w:tbl>
    <w:p w14:paraId="3ED75CDE">
      <w:pPr>
        <w:snapToGrid w:val="0"/>
        <w:ind w:firstLine="480" w:firstLineChars="200"/>
        <w:rPr>
          <w:rFonts w:ascii="仿宋" w:hAnsi="仿宋" w:eastAsia="仿宋"/>
          <w:sz w:val="24"/>
          <w:szCs w:val="24"/>
          <w:highlight w:val="none"/>
          <w:u w:val="none"/>
        </w:rPr>
      </w:pPr>
      <w:r>
        <w:rPr>
          <w:rFonts w:hint="eastAsia" w:ascii="仿宋" w:hAnsi="仿宋" w:eastAsia="仿宋"/>
          <w:sz w:val="24"/>
          <w:szCs w:val="24"/>
          <w:highlight w:val="none"/>
          <w:u w:val="none"/>
        </w:rPr>
        <w:t>6.1.2.3模具实际使用寿命为甲方工装跟踪簿上填报的实际生产数量为准。</w:t>
      </w:r>
    </w:p>
    <w:p w14:paraId="3CE64896">
      <w:pPr>
        <w:snapToGrid w:val="0"/>
        <w:ind w:firstLine="480" w:firstLineChars="200"/>
        <w:rPr>
          <w:rFonts w:ascii="仿宋" w:hAnsi="仿宋" w:eastAsia="仿宋"/>
          <w:sz w:val="24"/>
          <w:szCs w:val="24"/>
          <w:highlight w:val="none"/>
          <w:u w:val="none"/>
        </w:rPr>
      </w:pPr>
      <w:r>
        <w:rPr>
          <w:rFonts w:hint="eastAsia" w:ascii="仿宋" w:hAnsi="仿宋" w:eastAsia="仿宋"/>
          <w:sz w:val="24"/>
          <w:szCs w:val="24"/>
          <w:highlight w:val="none"/>
          <w:u w:val="none"/>
        </w:rPr>
        <w:t>6.1.3对生产制造不合格工装的乙方，甲方可视不合格程度及造成甲方在经济、声誉等方面的损失情况，做出以下处理：</w:t>
      </w:r>
    </w:p>
    <w:p w14:paraId="2A566073">
      <w:pPr>
        <w:snapToGrid w:val="0"/>
        <w:ind w:firstLine="480" w:firstLineChars="200"/>
        <w:rPr>
          <w:rFonts w:ascii="仿宋" w:hAnsi="仿宋" w:eastAsia="仿宋"/>
          <w:sz w:val="24"/>
          <w:szCs w:val="24"/>
          <w:highlight w:val="none"/>
          <w:u w:val="none"/>
        </w:rPr>
      </w:pPr>
      <w:r>
        <w:rPr>
          <w:rFonts w:hint="eastAsia" w:ascii="仿宋" w:hAnsi="仿宋" w:eastAsia="仿宋"/>
          <w:sz w:val="24"/>
          <w:szCs w:val="24"/>
          <w:highlight w:val="none"/>
          <w:u w:val="none"/>
        </w:rPr>
        <w:t>6.1.3.1对连续三次以上在进货检验出现退货或生产使用中出现使用寿命低于技术定额30%的供方，将取消其合格供方资格。</w:t>
      </w:r>
    </w:p>
    <w:p w14:paraId="195392E6">
      <w:pPr>
        <w:snapToGrid w:val="0"/>
        <w:ind w:firstLine="480" w:firstLineChars="200"/>
        <w:rPr>
          <w:rFonts w:ascii="仿宋" w:hAnsi="仿宋" w:eastAsia="仿宋"/>
          <w:sz w:val="24"/>
          <w:szCs w:val="24"/>
          <w:highlight w:val="none"/>
          <w:u w:val="none"/>
        </w:rPr>
      </w:pPr>
      <w:r>
        <w:rPr>
          <w:rFonts w:hint="eastAsia" w:ascii="仿宋" w:hAnsi="仿宋" w:eastAsia="仿宋"/>
          <w:sz w:val="24"/>
          <w:szCs w:val="24"/>
          <w:highlight w:val="none"/>
          <w:u w:val="none"/>
        </w:rPr>
        <w:t>6.1.3.2对乙方发生退货或不合格现象，甲方将对乙方供货业绩进行扣分统计，并作年度合格供方评审依据。</w:t>
      </w:r>
    </w:p>
    <w:p w14:paraId="4D34C813">
      <w:pPr>
        <w:snapToGrid w:val="0"/>
        <w:ind w:firstLine="480" w:firstLineChars="200"/>
        <w:rPr>
          <w:rFonts w:ascii="仿宋" w:hAnsi="仿宋" w:eastAsia="仿宋"/>
          <w:sz w:val="24"/>
          <w:szCs w:val="24"/>
          <w:highlight w:val="none"/>
          <w:u w:val="none"/>
        </w:rPr>
      </w:pPr>
      <w:r>
        <w:rPr>
          <w:rFonts w:hint="eastAsia" w:ascii="仿宋" w:hAnsi="仿宋" w:eastAsia="仿宋"/>
          <w:sz w:val="24"/>
          <w:szCs w:val="24"/>
          <w:highlight w:val="none"/>
          <w:u w:val="none"/>
        </w:rPr>
        <w:t>6.1.4新产品验证过程出现的不合格，属成型厂设计责任的，由技术质量部、使用单位签字确认，成型厂技术质量部对工装制造单位免于考核；属工装本身质量问题，成型厂按第6.1.2条款进行处理。</w:t>
      </w:r>
    </w:p>
    <w:p w14:paraId="40516703">
      <w:pPr>
        <w:snapToGrid w:val="0"/>
        <w:ind w:firstLine="480" w:firstLineChars="200"/>
        <w:rPr>
          <w:rFonts w:ascii="仿宋" w:hAnsi="仿宋" w:eastAsia="仿宋"/>
          <w:sz w:val="24"/>
          <w:szCs w:val="24"/>
          <w:highlight w:val="none"/>
          <w:u w:val="none"/>
        </w:rPr>
      </w:pPr>
      <w:r>
        <w:rPr>
          <w:rFonts w:hint="eastAsia" w:ascii="仿宋" w:hAnsi="仿宋" w:eastAsia="仿宋"/>
          <w:sz w:val="24"/>
          <w:szCs w:val="24"/>
          <w:highlight w:val="none"/>
          <w:u w:val="none"/>
        </w:rPr>
        <w:t>6.1.5供方行为</w:t>
      </w:r>
    </w:p>
    <w:p w14:paraId="50BCAD3B">
      <w:pPr>
        <w:snapToGrid w:val="0"/>
        <w:ind w:firstLine="480" w:firstLineChars="200"/>
        <w:rPr>
          <w:rFonts w:ascii="仿宋" w:hAnsi="仿宋" w:eastAsia="仿宋"/>
          <w:sz w:val="24"/>
          <w:szCs w:val="24"/>
          <w:highlight w:val="none"/>
          <w:u w:val="none"/>
        </w:rPr>
      </w:pPr>
      <w:r>
        <w:rPr>
          <w:rFonts w:hint="eastAsia" w:ascii="仿宋" w:hAnsi="仿宋" w:eastAsia="仿宋"/>
          <w:sz w:val="24"/>
          <w:szCs w:val="24"/>
          <w:highlight w:val="none"/>
          <w:u w:val="none"/>
        </w:rPr>
        <w:t>6.1.5.1乙方对重大质量问题有意隐瞒不报，对甲方造成较大影响时，甲方有权对乙方的行为进行通报，并视影响程度、损失大小，要求乙方按照10万元以上的标准向甲方支付违约金；情节特别严重或年内二次发生的，甲方有权取消乙方供货资格，原则上2年内不进行供方准入。乙方对一般批量质量问题有意隐瞒不报，对甲方正常生产造成一定影响的，甲方有权视影响程度、损失大小，要求乙方向甲方支付1万元以上的违约金。</w:t>
      </w:r>
    </w:p>
    <w:p w14:paraId="6241EF80">
      <w:pPr>
        <w:snapToGrid w:val="0"/>
        <w:ind w:firstLine="480" w:firstLineChars="200"/>
        <w:rPr>
          <w:rFonts w:ascii="仿宋" w:hAnsi="仿宋" w:eastAsia="仿宋"/>
          <w:sz w:val="24"/>
          <w:szCs w:val="24"/>
          <w:highlight w:val="none"/>
          <w:u w:val="none"/>
        </w:rPr>
      </w:pPr>
      <w:r>
        <w:rPr>
          <w:rFonts w:hint="eastAsia" w:ascii="仿宋" w:hAnsi="仿宋" w:eastAsia="仿宋"/>
          <w:sz w:val="24"/>
          <w:szCs w:val="24"/>
          <w:highlight w:val="none"/>
          <w:u w:val="none"/>
        </w:rPr>
        <w:t>6.1.5.3甲方已通知乙方更改工艺或技术图纸，但乙方未按要求进行更改，甲方一经发现，扣除乙方该批货物价值的10%作为违约金；对造成严重后果的，可予以加倍扣除违约金或取消其供货资格。</w:t>
      </w:r>
    </w:p>
    <w:p w14:paraId="3B841586">
      <w:pPr>
        <w:snapToGrid w:val="0"/>
        <w:ind w:firstLine="480" w:firstLineChars="200"/>
        <w:rPr>
          <w:rFonts w:ascii="仿宋" w:hAnsi="仿宋" w:eastAsia="仿宋"/>
          <w:sz w:val="24"/>
          <w:szCs w:val="24"/>
          <w:highlight w:val="none"/>
          <w:u w:val="none"/>
        </w:rPr>
      </w:pPr>
      <w:r>
        <w:rPr>
          <w:rFonts w:hint="eastAsia" w:ascii="仿宋" w:hAnsi="仿宋" w:eastAsia="仿宋"/>
          <w:sz w:val="24"/>
          <w:szCs w:val="24"/>
          <w:highlight w:val="none"/>
          <w:u w:val="none"/>
        </w:rPr>
        <w:t>6.1.5.4对甲方要求提交的资料或信息（包括但不限于供方自检报告等），如乙方提供与事实情况不符，甲方有权要求乙方支付1万元-5万元的违约金，情节严重的，甲方有权取消乙方供货资格。如果违约金不足以弥补甲方损失，甲方有权要求乙方赔偿甲方的全部直接损失。</w:t>
      </w:r>
    </w:p>
    <w:p w14:paraId="5D90626E">
      <w:pPr>
        <w:snapToGrid w:val="0"/>
        <w:ind w:firstLine="480" w:firstLineChars="200"/>
        <w:rPr>
          <w:rFonts w:ascii="仿宋" w:hAnsi="仿宋" w:eastAsia="仿宋"/>
          <w:sz w:val="24"/>
          <w:szCs w:val="24"/>
          <w:highlight w:val="none"/>
          <w:u w:val="none"/>
        </w:rPr>
      </w:pPr>
      <w:r>
        <w:rPr>
          <w:rFonts w:hint="eastAsia" w:ascii="仿宋" w:hAnsi="仿宋" w:eastAsia="仿宋"/>
          <w:sz w:val="24"/>
          <w:szCs w:val="24"/>
          <w:highlight w:val="none"/>
          <w:u w:val="none"/>
        </w:rPr>
        <w:t>6.1.5.5对供货零件的尺寸类、性能类要求，乙方应制定检验规范并按甲方要求或国家、行业标准要求进行周期性检测控制，未按要求执行的，甲方有权要求乙方支付1万元-5万元违约金，如性能类项目未按要求执行周期性检验，甲方查实且发现性能不符合要求的，甲方有权要求乙方支付5万元-10万元违约金，情节严重的，甲方有权取消乙方供货资格。如果违约金不足以弥补甲方损失，甲方有权要求乙方赔偿甲方的全部直接损失。</w:t>
      </w:r>
    </w:p>
    <w:p w14:paraId="3B651D01">
      <w:pPr>
        <w:snapToGrid w:val="0"/>
        <w:ind w:firstLine="480" w:firstLineChars="200"/>
        <w:rPr>
          <w:rFonts w:ascii="仿宋" w:hAnsi="仿宋" w:eastAsia="仿宋"/>
          <w:sz w:val="24"/>
          <w:szCs w:val="24"/>
          <w:highlight w:val="none"/>
          <w:u w:val="none"/>
        </w:rPr>
      </w:pPr>
      <w:r>
        <w:rPr>
          <w:rFonts w:hint="eastAsia" w:ascii="仿宋" w:hAnsi="仿宋" w:eastAsia="仿宋"/>
          <w:sz w:val="24"/>
          <w:szCs w:val="24"/>
          <w:highlight w:val="none"/>
          <w:u w:val="none"/>
        </w:rPr>
        <w:t>6.1.6态度/沟通</w:t>
      </w:r>
    </w:p>
    <w:p w14:paraId="64912B5A">
      <w:pPr>
        <w:snapToGrid w:val="0"/>
        <w:ind w:firstLine="480" w:firstLineChars="200"/>
        <w:rPr>
          <w:rFonts w:ascii="仿宋" w:hAnsi="仿宋" w:eastAsia="仿宋"/>
          <w:sz w:val="24"/>
          <w:szCs w:val="24"/>
          <w:highlight w:val="none"/>
          <w:u w:val="none"/>
        </w:rPr>
      </w:pPr>
      <w:r>
        <w:rPr>
          <w:rFonts w:hint="eastAsia" w:ascii="仿宋" w:hAnsi="仿宋" w:eastAsia="仿宋"/>
          <w:sz w:val="24"/>
          <w:szCs w:val="24"/>
          <w:highlight w:val="none"/>
          <w:u w:val="none"/>
        </w:rPr>
        <w:t>6.1.6.1乙方对发生的质量问题及审核发现问题未按时反馈、未制定整改措施或制定了整改措施但未实施的，首次发生的支付违约金1000-5000元，一年内重复发生加倍支付违约金。</w:t>
      </w:r>
    </w:p>
    <w:p w14:paraId="4E7254DD">
      <w:pPr>
        <w:snapToGrid w:val="0"/>
        <w:ind w:firstLine="480" w:firstLineChars="200"/>
        <w:rPr>
          <w:rFonts w:ascii="仿宋" w:hAnsi="仿宋" w:eastAsia="仿宋"/>
          <w:sz w:val="24"/>
          <w:szCs w:val="24"/>
          <w:highlight w:val="none"/>
          <w:u w:val="none"/>
        </w:rPr>
      </w:pPr>
      <w:r>
        <w:rPr>
          <w:rFonts w:hint="eastAsia" w:ascii="仿宋" w:hAnsi="仿宋" w:eastAsia="仿宋"/>
          <w:sz w:val="24"/>
          <w:szCs w:val="24"/>
          <w:highlight w:val="none"/>
          <w:u w:val="none"/>
        </w:rPr>
        <w:t>6.1.6.2乙方无正当理由未按要求及时提供相关有效证书、报告、信息的，首次发生的支付违约金2000元，一年内重复发生加倍支付违约金。</w:t>
      </w:r>
    </w:p>
    <w:p w14:paraId="66193CC3">
      <w:pPr>
        <w:snapToGrid w:val="0"/>
        <w:ind w:firstLine="480" w:firstLineChars="200"/>
        <w:rPr>
          <w:rFonts w:ascii="仿宋" w:hAnsi="仿宋" w:eastAsia="仿宋"/>
          <w:sz w:val="24"/>
          <w:szCs w:val="24"/>
          <w:highlight w:val="none"/>
          <w:u w:val="none"/>
        </w:rPr>
      </w:pPr>
      <w:r>
        <w:rPr>
          <w:rFonts w:hint="eastAsia" w:ascii="仿宋" w:hAnsi="仿宋" w:eastAsia="仿宋"/>
          <w:sz w:val="24"/>
          <w:szCs w:val="24"/>
          <w:highlight w:val="none"/>
          <w:u w:val="none"/>
        </w:rPr>
        <w:t>6.1.6.3当出现认证证书失效、被暂停及变更时，乙方须7个工作日内书面告知甲方，否则乙方须支付违约金2000元，如果违约金不足以弥补甲方损失，甲方有权要求乙方赔偿甲方的全部直接损失。情节严重的，甲方有权取消乙方供货资格。</w:t>
      </w:r>
    </w:p>
    <w:p w14:paraId="44FE9626">
      <w:pPr>
        <w:snapToGrid w:val="0"/>
        <w:ind w:firstLine="480" w:firstLineChars="200"/>
        <w:rPr>
          <w:rFonts w:ascii="仿宋" w:hAnsi="仿宋" w:eastAsia="仿宋"/>
          <w:sz w:val="24"/>
          <w:szCs w:val="24"/>
          <w:highlight w:val="none"/>
          <w:u w:val="none"/>
        </w:rPr>
      </w:pPr>
      <w:r>
        <w:rPr>
          <w:rFonts w:hint="eastAsia" w:ascii="仿宋" w:hAnsi="仿宋" w:eastAsia="仿宋"/>
          <w:sz w:val="24"/>
          <w:szCs w:val="24"/>
          <w:highlight w:val="none"/>
          <w:u w:val="none"/>
        </w:rPr>
        <w:t>6.1.7其它问题</w:t>
      </w:r>
    </w:p>
    <w:p w14:paraId="7A90DDF9">
      <w:pPr>
        <w:snapToGrid w:val="0"/>
        <w:ind w:firstLine="480" w:firstLineChars="200"/>
        <w:rPr>
          <w:rFonts w:ascii="仿宋" w:hAnsi="仿宋" w:eastAsia="仿宋"/>
          <w:sz w:val="24"/>
          <w:szCs w:val="24"/>
          <w:highlight w:val="none"/>
          <w:u w:val="none"/>
        </w:rPr>
      </w:pPr>
      <w:r>
        <w:rPr>
          <w:rFonts w:hint="eastAsia" w:ascii="仿宋" w:hAnsi="仿宋" w:eastAsia="仿宋"/>
          <w:sz w:val="24"/>
          <w:szCs w:val="24"/>
          <w:highlight w:val="none"/>
          <w:u w:val="none"/>
        </w:rPr>
        <w:t>6.1.7.1因乙方产品质量问题，造成甲方或客户人员伤害和财产损失的，乙方除按本协议承担赔偿外，还应按相关法律、法规的规定承担有关责任，并承担因此给客户或相关人员造成的人员或财产的相关损失。</w:t>
      </w:r>
    </w:p>
    <w:p w14:paraId="540A4F40">
      <w:pPr>
        <w:snapToGrid w:val="0"/>
        <w:ind w:firstLine="480" w:firstLineChars="200"/>
        <w:rPr>
          <w:rFonts w:ascii="仿宋" w:hAnsi="仿宋" w:eastAsia="仿宋"/>
          <w:sz w:val="24"/>
          <w:szCs w:val="24"/>
          <w:highlight w:val="none"/>
          <w:u w:val="none"/>
        </w:rPr>
      </w:pPr>
      <w:r>
        <w:rPr>
          <w:rFonts w:hint="eastAsia" w:ascii="仿宋" w:hAnsi="仿宋" w:eastAsia="仿宋"/>
          <w:sz w:val="24"/>
          <w:szCs w:val="24"/>
          <w:highlight w:val="none"/>
          <w:u w:val="none"/>
        </w:rPr>
        <w:t>6.1.7.2其它未尽事宜，双方协商解决，协商一致后签订补充协议。</w:t>
      </w:r>
    </w:p>
    <w:p w14:paraId="01B54092">
      <w:pPr>
        <w:pStyle w:val="113"/>
        <w:ind w:firstLine="482" w:firstLineChars="200"/>
        <w:rPr>
          <w:rFonts w:ascii="仿宋" w:hAnsi="仿宋" w:eastAsia="仿宋" w:cs="Times New Roman"/>
          <w:b/>
          <w:sz w:val="24"/>
          <w:szCs w:val="24"/>
          <w:highlight w:val="none"/>
          <w:u w:val="none"/>
        </w:rPr>
      </w:pPr>
      <w:r>
        <w:rPr>
          <w:rFonts w:hint="eastAsia" w:ascii="仿宋" w:hAnsi="仿宋" w:eastAsia="仿宋" w:cs="Times New Roman"/>
          <w:b/>
          <w:sz w:val="24"/>
          <w:szCs w:val="24"/>
          <w:highlight w:val="none"/>
          <w:u w:val="none"/>
        </w:rPr>
        <w:t>6.2索赔程序</w:t>
      </w:r>
    </w:p>
    <w:p w14:paraId="1FBA6A1A">
      <w:pPr>
        <w:pStyle w:val="113"/>
        <w:ind w:firstLine="480" w:firstLineChars="200"/>
        <w:rPr>
          <w:rFonts w:ascii="仿宋" w:hAnsi="仿宋" w:eastAsia="仿宋" w:cs="Times New Roman"/>
          <w:sz w:val="24"/>
          <w:szCs w:val="24"/>
          <w:u w:val="none"/>
        </w:rPr>
      </w:pPr>
      <w:r>
        <w:rPr>
          <w:rFonts w:hint="eastAsia" w:ascii="仿宋" w:hAnsi="仿宋" w:eastAsia="仿宋" w:cs="Times New Roman"/>
          <w:sz w:val="24"/>
          <w:szCs w:val="24"/>
          <w:highlight w:val="none"/>
          <w:u w:val="none"/>
        </w:rPr>
        <w:t>6.2.1甲方依据乙方原因所造成的影响及后果，按照本协议的约定，确定违约金及/或索赔金额并通过甲方信息化系统、邮件等形式通知乙方后，甲方有权从应付货款中直接扣除,应付货款不足时在质量保证金中扣除。乙方应及时对索赔信息进行确认，乙方如有异议，可在接到通知5</w:t>
      </w:r>
      <w:r>
        <w:rPr>
          <w:rFonts w:hint="eastAsia" w:ascii="仿宋" w:hAnsi="仿宋"/>
          <w:sz w:val="24"/>
          <w:highlight w:val="none"/>
          <w:u w:val="none"/>
        </w:rPr>
        <w:t>个</w:t>
      </w:r>
      <w:r>
        <w:rPr>
          <w:rFonts w:hint="eastAsia" w:ascii="仿宋" w:hAnsi="仿宋" w:eastAsia="仿宋" w:cs="Times New Roman"/>
          <w:sz w:val="24"/>
          <w:szCs w:val="24"/>
          <w:highlight w:val="none"/>
          <w:u w:val="none"/>
        </w:rPr>
        <w:t>自然日内向甲方提出书面申诉，甲方有责任对乙方的申诉进行确认及回复，对于非乙方责任造成的索赔，甲方将无息退还乙方的索赔费用，超过5</w:t>
      </w:r>
      <w:r>
        <w:rPr>
          <w:rFonts w:hint="eastAsia" w:ascii="仿宋" w:hAnsi="仿宋"/>
          <w:sz w:val="24"/>
          <w:highlight w:val="none"/>
          <w:u w:val="none"/>
        </w:rPr>
        <w:t>个</w:t>
      </w:r>
      <w:r>
        <w:rPr>
          <w:rFonts w:hint="eastAsia" w:ascii="仿宋" w:hAnsi="仿宋" w:eastAsia="仿宋" w:cs="Times New Roman"/>
          <w:sz w:val="24"/>
          <w:szCs w:val="24"/>
          <w:highlight w:val="none"/>
          <w:u w:val="none"/>
        </w:rPr>
        <w:t>自然日乙方</w:t>
      </w:r>
      <w:r>
        <w:rPr>
          <w:rFonts w:hint="eastAsia" w:ascii="仿宋" w:hAnsi="仿宋" w:eastAsia="仿宋" w:cs="Times New Roman"/>
          <w:sz w:val="24"/>
          <w:szCs w:val="24"/>
          <w:u w:val="none"/>
        </w:rPr>
        <w:t>未确认或未提出申诉的，视为同意索赔及违约金</w:t>
      </w:r>
      <w:bookmarkStart w:id="21" w:name="_Hlk124335919"/>
      <w:r>
        <w:rPr>
          <w:rFonts w:hint="eastAsia" w:ascii="仿宋" w:hAnsi="仿宋" w:eastAsia="仿宋" w:cs="Times New Roman"/>
          <w:sz w:val="24"/>
          <w:szCs w:val="24"/>
          <w:u w:val="none"/>
        </w:rPr>
        <w:t>。</w:t>
      </w:r>
    </w:p>
    <w:bookmarkEnd w:id="21"/>
    <w:p w14:paraId="612D4F14">
      <w:pPr>
        <w:pStyle w:val="113"/>
        <w:ind w:firstLine="480" w:firstLineChars="200"/>
        <w:rPr>
          <w:rFonts w:ascii="仿宋" w:hAnsi="仿宋" w:eastAsia="仿宋" w:cs="Times New Roman"/>
          <w:sz w:val="24"/>
          <w:szCs w:val="24"/>
          <w:highlight w:val="none"/>
          <w:u w:val="none"/>
        </w:rPr>
      </w:pPr>
      <w:r>
        <w:rPr>
          <w:rFonts w:hint="eastAsia" w:ascii="仿宋" w:hAnsi="仿宋" w:eastAsia="仿宋" w:cs="Times New Roman"/>
          <w:sz w:val="24"/>
          <w:szCs w:val="24"/>
          <w:highlight w:val="none"/>
          <w:u w:val="none"/>
        </w:rPr>
        <w:t>6.2.2对乙方的考核，由乙方以电汇或现金的方式结算。乙方降价、索赔费用由甲方从其货款中扣除，甲方财务部门在结算乙方货款时，首先扣除因产品质量问题产生降价、索赔金额。</w:t>
      </w:r>
    </w:p>
    <w:p w14:paraId="453F6470">
      <w:pPr>
        <w:pStyle w:val="113"/>
        <w:ind w:firstLine="480" w:firstLineChars="200"/>
        <w:rPr>
          <w:rFonts w:ascii="仿宋" w:hAnsi="仿宋" w:eastAsia="仿宋" w:cs="Times New Roman"/>
          <w:sz w:val="24"/>
          <w:szCs w:val="24"/>
          <w:highlight w:val="none"/>
          <w:u w:val="none"/>
        </w:rPr>
      </w:pPr>
      <w:r>
        <w:rPr>
          <w:rFonts w:hint="eastAsia" w:ascii="仿宋" w:hAnsi="仿宋" w:eastAsia="仿宋" w:cs="Times New Roman"/>
          <w:sz w:val="24"/>
          <w:szCs w:val="24"/>
          <w:highlight w:val="none"/>
          <w:u w:val="none"/>
        </w:rPr>
        <w:t>6.2.3乙方发现甲方人员对质量责任判定弄虚作假的，有权向甲方投诉，经甲方查证属实的，将无息退还误判乙方的索赔费用。</w:t>
      </w:r>
    </w:p>
    <w:p w14:paraId="473E6593">
      <w:pPr>
        <w:ind w:firstLine="480" w:firstLineChars="200"/>
        <w:jc w:val="left"/>
        <w:rPr>
          <w:rFonts w:ascii="仿宋" w:hAnsi="仿宋" w:eastAsia="仿宋" w:cs="Times New Roman"/>
          <w:sz w:val="24"/>
          <w:szCs w:val="24"/>
          <w:highlight w:val="none"/>
          <w:u w:val="none"/>
        </w:rPr>
      </w:pPr>
      <w:r>
        <w:rPr>
          <w:rFonts w:hint="eastAsia" w:ascii="仿宋" w:hAnsi="仿宋" w:eastAsia="仿宋" w:cs="Times New Roman"/>
          <w:sz w:val="24"/>
          <w:szCs w:val="24"/>
          <w:highlight w:val="none"/>
          <w:u w:val="none"/>
        </w:rPr>
        <w:t>6.2.4质量保证金</w:t>
      </w:r>
    </w:p>
    <w:p w14:paraId="293E4085">
      <w:pPr>
        <w:pStyle w:val="113"/>
        <w:numPr>
          <w:ilvl w:val="0"/>
          <w:numId w:val="28"/>
        </w:numPr>
        <w:ind w:firstLine="480" w:firstLineChars="200"/>
        <w:rPr>
          <w:rFonts w:ascii="仿宋" w:hAnsi="仿宋" w:eastAsia="仿宋" w:cs="Times New Roman"/>
          <w:kern w:val="2"/>
          <w:sz w:val="24"/>
          <w:szCs w:val="24"/>
          <w:highlight w:val="none"/>
          <w:u w:val="none"/>
        </w:rPr>
      </w:pPr>
      <w:r>
        <w:rPr>
          <w:rFonts w:hint="eastAsia" w:ascii="仿宋" w:hAnsi="仿宋" w:eastAsia="仿宋" w:cs="Times New Roman"/>
          <w:kern w:val="2"/>
          <w:sz w:val="24"/>
          <w:szCs w:val="24"/>
          <w:highlight w:val="none"/>
          <w:u w:val="none"/>
        </w:rPr>
        <w:t>质量保证金用于乙方所供产品发生质量问题的索赔保证金，以确保乙方所供产品的售后追偿索赔可正常进行。质量保证金从应付货款中计提，质量保证金不作为每月向乙方付款的基数，本协议执行完毕后，可转入下一年度作为质量保证金。</w:t>
      </w:r>
    </w:p>
    <w:p w14:paraId="7633A230">
      <w:pPr>
        <w:pStyle w:val="113"/>
        <w:ind w:firstLine="480" w:firstLineChars="200"/>
        <w:rPr>
          <w:rFonts w:ascii="仿宋" w:hAnsi="仿宋" w:eastAsia="仿宋" w:cs="Times New Roman"/>
          <w:kern w:val="2"/>
          <w:sz w:val="24"/>
          <w:szCs w:val="24"/>
          <w:highlight w:val="none"/>
          <w:u w:val="single"/>
        </w:rPr>
      </w:pPr>
      <w:r>
        <w:rPr>
          <w:rFonts w:hint="eastAsia" w:ascii="仿宋" w:hAnsi="仿宋" w:eastAsia="仿宋" w:cs="Times New Roman"/>
          <w:kern w:val="2"/>
          <w:sz w:val="24"/>
          <w:szCs w:val="24"/>
          <w:highlight w:val="none"/>
          <w:u w:val="none"/>
          <w:lang w:eastAsia="zh-CN"/>
        </w:rPr>
        <w:t>（</w:t>
      </w:r>
      <w:r>
        <w:rPr>
          <w:rFonts w:hint="eastAsia" w:ascii="仿宋" w:hAnsi="仿宋" w:eastAsia="仿宋" w:cs="Times New Roman"/>
          <w:kern w:val="2"/>
          <w:sz w:val="24"/>
          <w:szCs w:val="24"/>
          <w:highlight w:val="none"/>
          <w:u w:val="none"/>
          <w:lang w:val="en-US" w:eastAsia="zh-CN"/>
        </w:rPr>
        <w:t>2</w:t>
      </w:r>
      <w:r>
        <w:rPr>
          <w:rFonts w:hint="eastAsia" w:ascii="仿宋" w:hAnsi="仿宋" w:eastAsia="仿宋" w:cs="Times New Roman"/>
          <w:kern w:val="2"/>
          <w:sz w:val="24"/>
          <w:szCs w:val="24"/>
          <w:highlight w:val="none"/>
          <w:u w:val="none"/>
          <w:lang w:eastAsia="zh-CN"/>
        </w:rPr>
        <w:t>）</w:t>
      </w:r>
      <w:r>
        <w:rPr>
          <w:rFonts w:hint="eastAsia" w:ascii="仿宋" w:hAnsi="仿宋" w:eastAsia="仿宋" w:cs="Times New Roman"/>
          <w:kern w:val="2"/>
          <w:sz w:val="24"/>
          <w:szCs w:val="24"/>
          <w:highlight w:val="none"/>
          <w:u w:val="none"/>
        </w:rPr>
        <w:t>对于采购产品合格供方，年度合同质保金计算方式为：年度质保金额度=</w:t>
      </w:r>
      <w:r>
        <w:rPr>
          <w:rFonts w:hint="eastAsia" w:ascii="仿宋" w:hAnsi="仿宋" w:eastAsia="仿宋" w:cs="Times New Roman"/>
          <w:sz w:val="24"/>
          <w:szCs w:val="24"/>
          <w:highlight w:val="none"/>
          <w:u w:val="none"/>
        </w:rPr>
        <w:t>乙方上一年度入账发票（含税）采购额×5%×风险系数，最低1万元，最高200万元</w:t>
      </w:r>
      <w:r>
        <w:rPr>
          <w:rFonts w:hint="eastAsia" w:ascii="仿宋" w:hAnsi="仿宋" w:eastAsia="仿宋" w:cs="Times New Roman"/>
          <w:kern w:val="2"/>
          <w:sz w:val="24"/>
          <w:szCs w:val="24"/>
          <w:highlight w:val="none"/>
          <w:u w:val="none"/>
          <w:lang w:eastAsia="zh-CN"/>
        </w:rPr>
        <w:t>（</w:t>
      </w:r>
      <w:r>
        <w:rPr>
          <w:rFonts w:hint="eastAsia" w:ascii="仿宋" w:hAnsi="仿宋" w:eastAsia="仿宋" w:cs="Times New Roman"/>
          <w:sz w:val="24"/>
          <w:szCs w:val="24"/>
          <w:highlight w:val="none"/>
          <w:u w:val="none"/>
        </w:rPr>
        <w:t>年度合同金额低于1万元的，按合同金额的5%收取</w:t>
      </w:r>
      <w:r>
        <w:rPr>
          <w:rFonts w:hint="eastAsia" w:ascii="仿宋" w:hAnsi="仿宋" w:eastAsia="仿宋" w:cs="Times New Roman"/>
          <w:sz w:val="24"/>
          <w:szCs w:val="24"/>
          <w:highlight w:val="none"/>
          <w:u w:val="none"/>
          <w:lang w:eastAsia="zh-CN"/>
        </w:rPr>
        <w:t>，</w:t>
      </w:r>
      <w:r>
        <w:rPr>
          <w:rFonts w:hint="eastAsia" w:ascii="仿宋" w:hAnsi="仿宋" w:eastAsia="仿宋" w:cs="Times New Roman"/>
          <w:kern w:val="2"/>
          <w:sz w:val="24"/>
          <w:szCs w:val="24"/>
          <w:highlight w:val="none"/>
          <w:u w:val="none"/>
        </w:rPr>
        <w:t>一次性合同质保金按合同金额的5%收取</w:t>
      </w:r>
      <w:r>
        <w:rPr>
          <w:rFonts w:hint="eastAsia" w:ascii="仿宋" w:hAnsi="仿宋" w:eastAsia="仿宋" w:cs="Times New Roman"/>
          <w:kern w:val="2"/>
          <w:sz w:val="24"/>
          <w:szCs w:val="24"/>
          <w:highlight w:val="none"/>
          <w:u w:val="none"/>
          <w:lang w:eastAsia="zh-CN"/>
        </w:rPr>
        <w:t>）</w:t>
      </w:r>
      <w:r>
        <w:rPr>
          <w:rFonts w:hint="eastAsia" w:ascii="仿宋" w:hAnsi="仿宋" w:eastAsia="仿宋" w:cs="Times New Roman"/>
          <w:kern w:val="2"/>
          <w:sz w:val="24"/>
          <w:szCs w:val="24"/>
          <w:highlight w:val="none"/>
          <w:u w:val="none"/>
        </w:rPr>
        <w:t>。年度质量索赔费用与年度供货额的比率，为质量索赔比率（A）；根据不同的质量索赔比率设定不同的风险系数：A≤2%，风险系数=1； 2%&lt; A≤5%，风险系数=1.2；5%&lt; A≤10%，风险系数=1.5； A&gt;10%，风险系数=2。</w:t>
      </w:r>
      <w:r>
        <w:rPr>
          <w:rFonts w:hint="eastAsia" w:ascii="仿宋" w:hAnsi="仿宋" w:eastAsia="仿宋" w:cs="Times New Roman"/>
          <w:sz w:val="24"/>
          <w:szCs w:val="24"/>
          <w:u w:val="single"/>
        </w:rPr>
        <w:t xml:space="preserve">双方确认乙方应缴纳质量保证金【  </w:t>
      </w:r>
      <w:r>
        <w:rPr>
          <w:rFonts w:hint="eastAsia" w:ascii="仿宋" w:hAnsi="仿宋" w:eastAsia="仿宋" w:cs="Times New Roman"/>
          <w:sz w:val="24"/>
          <w:szCs w:val="24"/>
          <w:u w:val="single"/>
          <w:lang w:val="en-US" w:eastAsia="zh-CN"/>
        </w:rPr>
        <w:t>X</w:t>
      </w:r>
      <w:r>
        <w:rPr>
          <w:rFonts w:hint="eastAsia" w:ascii="仿宋" w:hAnsi="仿宋" w:eastAsia="仿宋" w:cs="Times New Roman"/>
          <w:sz w:val="24"/>
          <w:szCs w:val="24"/>
          <w:u w:val="single"/>
        </w:rPr>
        <w:t xml:space="preserve">  】万元。</w:t>
      </w:r>
    </w:p>
    <w:p w14:paraId="1BF6A022">
      <w:pPr>
        <w:pStyle w:val="113"/>
        <w:ind w:firstLine="480" w:firstLineChars="200"/>
        <w:rPr>
          <w:rFonts w:hint="eastAsia" w:ascii="仿宋" w:hAnsi="仿宋" w:eastAsia="仿宋" w:cs="Times New Roman"/>
          <w:sz w:val="24"/>
          <w:szCs w:val="24"/>
          <w:highlight w:val="none"/>
          <w:u w:val="none"/>
        </w:rPr>
      </w:pPr>
      <w:r>
        <w:rPr>
          <w:rFonts w:hint="eastAsia" w:ascii="仿宋" w:hAnsi="仿宋" w:eastAsia="仿宋" w:cs="Times New Roman"/>
          <w:sz w:val="24"/>
          <w:szCs w:val="24"/>
          <w:highlight w:val="none"/>
          <w:u w:val="none"/>
        </w:rPr>
        <w:t>对于新准入的供方，按照当年度已挂账发票（含税）逐票预留5%（最高200万元），均自甲方应付账款中扣除。</w:t>
      </w:r>
    </w:p>
    <w:p w14:paraId="6B0ECCE1">
      <w:pPr>
        <w:pStyle w:val="113"/>
        <w:ind w:firstLine="480" w:firstLineChars="200"/>
        <w:rPr>
          <w:rFonts w:hint="eastAsia" w:ascii="仿宋" w:hAnsi="仿宋" w:eastAsia="仿宋" w:cs="Times New Roman"/>
          <w:sz w:val="24"/>
          <w:szCs w:val="24"/>
          <w:highlight w:val="none"/>
          <w:u w:val="none"/>
        </w:rPr>
      </w:pPr>
      <w:r>
        <w:rPr>
          <w:rFonts w:hint="eastAsia" w:ascii="仿宋" w:hAnsi="仿宋" w:eastAsia="仿宋" w:cs="Times New Roman"/>
          <w:sz w:val="24"/>
          <w:szCs w:val="24"/>
        </w:rPr>
        <w:t>当乙方的质量保证金和货款不足以承担乙方需支付的违约金或赔偿款时，乙方应在收到甲方索赔通知之日起3个工作日内向甲方支付违约金或赔偿款。</w:t>
      </w:r>
    </w:p>
    <w:p w14:paraId="7B2C54F8">
      <w:pPr>
        <w:pStyle w:val="113"/>
        <w:ind w:firstLine="480" w:firstLineChars="200"/>
        <w:rPr>
          <w:rFonts w:ascii="仿宋" w:hAnsi="仿宋" w:eastAsia="仿宋" w:cs="Times New Roman"/>
          <w:kern w:val="2"/>
          <w:sz w:val="24"/>
          <w:szCs w:val="24"/>
          <w:highlight w:val="none"/>
          <w:u w:val="none"/>
        </w:rPr>
      </w:pPr>
      <w:r>
        <w:rPr>
          <w:rFonts w:hint="eastAsia" w:ascii="仿宋" w:hAnsi="仿宋" w:eastAsia="仿宋" w:cs="Times New Roman"/>
          <w:kern w:val="2"/>
          <w:sz w:val="24"/>
          <w:szCs w:val="24"/>
          <w:highlight w:val="none"/>
          <w:u w:val="none"/>
        </w:rPr>
        <w:t>（</w:t>
      </w:r>
      <w:r>
        <w:rPr>
          <w:rFonts w:hint="eastAsia" w:ascii="仿宋" w:hAnsi="仿宋" w:eastAsia="仿宋" w:cs="Times New Roman"/>
          <w:kern w:val="2"/>
          <w:sz w:val="24"/>
          <w:szCs w:val="24"/>
          <w:highlight w:val="none"/>
          <w:u w:val="none"/>
          <w:lang w:val="en-US" w:eastAsia="zh-CN"/>
        </w:rPr>
        <w:t>3</w:t>
      </w:r>
      <w:r>
        <w:rPr>
          <w:rFonts w:hint="eastAsia" w:ascii="仿宋" w:hAnsi="仿宋" w:eastAsia="仿宋" w:cs="Times New Roman"/>
          <w:kern w:val="2"/>
          <w:sz w:val="24"/>
          <w:szCs w:val="24"/>
          <w:highlight w:val="none"/>
          <w:u w:val="none"/>
        </w:rPr>
        <w:t>）甲方按照约定扣除保证金后，有权自动在应付乙方账款中扣除相应金额补足质保金，如应付账款无法补足的，乙方以现款补足。</w:t>
      </w:r>
    </w:p>
    <w:p w14:paraId="4A2B2784">
      <w:pPr>
        <w:pStyle w:val="113"/>
        <w:ind w:firstLine="480" w:firstLineChars="200"/>
        <w:rPr>
          <w:rFonts w:ascii="仿宋" w:hAnsi="仿宋" w:eastAsia="仿宋" w:cs="Times New Roman"/>
          <w:kern w:val="2"/>
          <w:sz w:val="24"/>
          <w:szCs w:val="24"/>
          <w:highlight w:val="none"/>
          <w:u w:val="none"/>
        </w:rPr>
      </w:pPr>
      <w:r>
        <w:rPr>
          <w:rFonts w:hint="eastAsia" w:ascii="仿宋" w:hAnsi="仿宋" w:eastAsia="仿宋" w:cs="Times New Roman"/>
          <w:kern w:val="2"/>
          <w:sz w:val="24"/>
          <w:szCs w:val="24"/>
          <w:highlight w:val="none"/>
          <w:u w:val="none"/>
        </w:rPr>
        <w:t>（</w:t>
      </w:r>
      <w:r>
        <w:rPr>
          <w:rFonts w:hint="eastAsia" w:ascii="仿宋" w:hAnsi="仿宋" w:eastAsia="仿宋" w:cs="Times New Roman"/>
          <w:kern w:val="2"/>
          <w:sz w:val="24"/>
          <w:szCs w:val="24"/>
          <w:highlight w:val="none"/>
          <w:u w:val="none"/>
          <w:lang w:val="en-US" w:eastAsia="zh-CN"/>
        </w:rPr>
        <w:t>4</w:t>
      </w:r>
      <w:r>
        <w:rPr>
          <w:rFonts w:hint="eastAsia" w:ascii="仿宋" w:hAnsi="仿宋" w:eastAsia="仿宋" w:cs="Times New Roman"/>
          <w:kern w:val="2"/>
          <w:sz w:val="24"/>
          <w:szCs w:val="24"/>
          <w:highlight w:val="none"/>
          <w:u w:val="none"/>
        </w:rPr>
        <w:t>）质量保证金额度确定后，每半年对乙方进行风险评估，风险系数发生变化时，甲方应按照计算规则对质量保证金额度进行调整。当乙方出现停供风险时，甲方有权根据实际情况重新确定质保金额度，并自应付账款中扣除质保金差额部分，如应付账款无法补足的，乙方同意以现款补足质量保证金。</w:t>
      </w:r>
    </w:p>
    <w:p w14:paraId="7A41F887">
      <w:pPr>
        <w:pStyle w:val="113"/>
        <w:ind w:firstLine="480" w:firstLineChars="200"/>
        <w:rPr>
          <w:rFonts w:ascii="仿宋" w:hAnsi="仿宋" w:eastAsia="仿宋" w:cs="Times New Roman"/>
          <w:kern w:val="2"/>
          <w:sz w:val="24"/>
          <w:szCs w:val="24"/>
          <w:highlight w:val="none"/>
          <w:u w:val="none"/>
        </w:rPr>
      </w:pPr>
      <w:r>
        <w:rPr>
          <w:rFonts w:hint="eastAsia" w:ascii="仿宋" w:hAnsi="仿宋" w:eastAsia="仿宋" w:cs="Times New Roman"/>
          <w:kern w:val="2"/>
          <w:sz w:val="24"/>
          <w:szCs w:val="24"/>
          <w:highlight w:val="none"/>
          <w:u w:val="none"/>
        </w:rPr>
        <w:t>（</w:t>
      </w:r>
      <w:r>
        <w:rPr>
          <w:rFonts w:hint="eastAsia" w:ascii="仿宋" w:hAnsi="仿宋" w:eastAsia="仿宋" w:cs="Times New Roman"/>
          <w:kern w:val="2"/>
          <w:sz w:val="24"/>
          <w:szCs w:val="24"/>
          <w:highlight w:val="none"/>
          <w:u w:val="none"/>
          <w:lang w:val="en-US" w:eastAsia="zh-CN"/>
        </w:rPr>
        <w:t>5</w:t>
      </w:r>
      <w:r>
        <w:rPr>
          <w:rFonts w:hint="eastAsia" w:ascii="仿宋" w:hAnsi="仿宋" w:eastAsia="仿宋" w:cs="Times New Roman"/>
          <w:kern w:val="2"/>
          <w:sz w:val="24"/>
          <w:szCs w:val="24"/>
          <w:highlight w:val="none"/>
          <w:u w:val="none"/>
        </w:rPr>
        <w:t>）乙方停止供货一年后，经甲方确认无需要赔付的售后追偿额度，甲方将无息返还剩余质量保证金。如有相关问题，待问题确认后，由甲方在质量保证金中扣除乙方应付的款项后无息返还剩余部分，额度不足时，乙方同意以现款补充差额部分。</w:t>
      </w:r>
    </w:p>
    <w:p w14:paraId="3B99076B">
      <w:pPr>
        <w:pStyle w:val="113"/>
        <w:ind w:firstLine="480" w:firstLineChars="200"/>
        <w:rPr>
          <w:rFonts w:ascii="仿宋" w:hAnsi="仿宋" w:eastAsia="仿宋" w:cs="Times New Roman"/>
          <w:kern w:val="2"/>
          <w:sz w:val="24"/>
          <w:szCs w:val="24"/>
          <w:highlight w:val="none"/>
          <w:u w:val="none"/>
        </w:rPr>
      </w:pPr>
      <w:r>
        <w:rPr>
          <w:rFonts w:hint="eastAsia" w:ascii="仿宋" w:hAnsi="仿宋" w:eastAsia="仿宋" w:cs="Times New Roman"/>
          <w:kern w:val="2"/>
          <w:sz w:val="24"/>
          <w:szCs w:val="24"/>
          <w:highlight w:val="none"/>
          <w:u w:val="none"/>
        </w:rPr>
        <w:t>（</w:t>
      </w:r>
      <w:r>
        <w:rPr>
          <w:rFonts w:hint="eastAsia" w:ascii="仿宋" w:hAnsi="仿宋" w:eastAsia="仿宋" w:cs="Times New Roman"/>
          <w:kern w:val="2"/>
          <w:sz w:val="24"/>
          <w:szCs w:val="24"/>
          <w:highlight w:val="none"/>
          <w:u w:val="none"/>
          <w:lang w:val="en-US" w:eastAsia="zh-CN"/>
        </w:rPr>
        <w:t>6</w:t>
      </w:r>
      <w:r>
        <w:rPr>
          <w:rFonts w:hint="eastAsia" w:ascii="仿宋" w:hAnsi="仿宋" w:eastAsia="仿宋" w:cs="Times New Roman"/>
          <w:kern w:val="2"/>
          <w:sz w:val="24"/>
          <w:szCs w:val="24"/>
          <w:highlight w:val="none"/>
          <w:u w:val="none"/>
        </w:rPr>
        <w:t>）如乙方向甲方所属集团公司内多家制造单位供货，质量保证金额度分别计算、收取。如乙方出现停供风险，可在集团范围内统筹使用质量保证金，消除售后索赔赔付风险，乙方对此无异议。</w:t>
      </w:r>
    </w:p>
    <w:p w14:paraId="4E3707B1">
      <w:pPr>
        <w:pStyle w:val="113"/>
        <w:ind w:firstLine="480" w:firstLineChars="200"/>
        <w:rPr>
          <w:rFonts w:ascii="仿宋" w:hAnsi="仿宋" w:eastAsia="仿宋" w:cs="Times New Roman"/>
          <w:kern w:val="2"/>
          <w:sz w:val="24"/>
          <w:szCs w:val="24"/>
          <w:highlight w:val="none"/>
          <w:u w:val="none"/>
        </w:rPr>
      </w:pPr>
      <w:r>
        <w:rPr>
          <w:rFonts w:hint="eastAsia" w:ascii="仿宋" w:hAnsi="仿宋" w:eastAsia="仿宋" w:cs="Times New Roman"/>
          <w:kern w:val="2"/>
          <w:sz w:val="24"/>
          <w:szCs w:val="24"/>
          <w:highlight w:val="none"/>
          <w:u w:val="none"/>
        </w:rPr>
        <w:t>6.2.5由于工装质量原因，导致产品在甲方的生产过程中出现不合格品或造成相关损失，质量责任由乙方承担，乙方应赔偿，包括但不限于加工费用、工时费、废品损失费、返修费等，具体按照甲方财务部门核定的费用为准。</w:t>
      </w:r>
    </w:p>
    <w:p w14:paraId="6B1BC79D">
      <w:pPr>
        <w:pStyle w:val="113"/>
        <w:ind w:firstLine="480" w:firstLineChars="200"/>
        <w:rPr>
          <w:rFonts w:ascii="仿宋" w:hAnsi="仿宋" w:eastAsia="仿宋" w:cs="Times New Roman"/>
          <w:kern w:val="2"/>
          <w:sz w:val="24"/>
          <w:szCs w:val="24"/>
          <w:highlight w:val="none"/>
          <w:u w:val="none"/>
        </w:rPr>
      </w:pPr>
      <w:r>
        <w:rPr>
          <w:rFonts w:hint="eastAsia" w:ascii="仿宋" w:hAnsi="仿宋" w:eastAsia="仿宋" w:cs="Times New Roman"/>
          <w:kern w:val="2"/>
          <w:sz w:val="24"/>
          <w:szCs w:val="24"/>
          <w:highlight w:val="none"/>
          <w:u w:val="none"/>
        </w:rPr>
        <w:t>6.2.6乙方要根据甲方反馈的不合格信息及时提出整改措施，组织进行整改。由于整改不到位，造成质量问题的重复发生，乙方要加倍赔偿甲方的损失。</w:t>
      </w:r>
    </w:p>
    <w:p w14:paraId="2DC0EACF">
      <w:pPr>
        <w:snapToGrid w:val="0"/>
        <w:ind w:firstLine="480" w:firstLineChars="200"/>
        <w:rPr>
          <w:rFonts w:hint="eastAsia" w:ascii="仿宋" w:hAnsi="仿宋" w:eastAsia="仿宋" w:cs="Times New Roman"/>
          <w:color w:val="auto"/>
          <w:kern w:val="2"/>
          <w:sz w:val="24"/>
          <w:szCs w:val="24"/>
          <w:highlight w:val="none"/>
          <w:u w:val="none"/>
        </w:rPr>
      </w:pPr>
      <w:r>
        <w:rPr>
          <w:rFonts w:hint="eastAsia" w:ascii="仿宋" w:hAnsi="仿宋" w:eastAsia="仿宋" w:cs="Times New Roman"/>
          <w:color w:val="auto"/>
          <w:kern w:val="2"/>
          <w:sz w:val="24"/>
          <w:szCs w:val="24"/>
          <w:highlight w:val="none"/>
          <w:u w:val="none"/>
        </w:rPr>
        <w:t>6.2.7乙方应确保供货不耽误甲方正常生产（不可抗拒因素除外），如果因乙方产品质量原因或供货期滞后，导致甲方局部或全线生产中断，甲方在30分钟内通知乙方，乙方应承担给甲方造成的相关损失，包括但不限于能源费、人工成本、废品等损失，经财务部门确认后，由甲方技术质量部门向乙方索赔；因乙方原因影响甲方产品交付的，视情节轻重对乙方进行考核、降低份额直至拉入黑名单。</w:t>
      </w:r>
    </w:p>
    <w:p w14:paraId="26A431B0">
      <w:pPr>
        <w:snapToGrid w:val="0"/>
        <w:ind w:firstLine="480" w:firstLineChars="200"/>
        <w:rPr>
          <w:rFonts w:hint="eastAsia" w:ascii="仿宋" w:hAnsi="仿宋" w:eastAsia="仿宋" w:cs="Times New Roman"/>
          <w:color w:val="auto"/>
          <w:kern w:val="2"/>
          <w:sz w:val="24"/>
          <w:szCs w:val="24"/>
          <w:highlight w:val="none"/>
          <w:u w:val="none"/>
        </w:rPr>
      </w:pPr>
      <w:r>
        <w:rPr>
          <w:rFonts w:hint="eastAsia" w:ascii="仿宋" w:hAnsi="仿宋" w:eastAsia="仿宋" w:cs="Times New Roman"/>
          <w:color w:val="auto"/>
          <w:kern w:val="2"/>
          <w:sz w:val="24"/>
          <w:szCs w:val="24"/>
          <w:highlight w:val="none"/>
          <w:u w:val="none"/>
        </w:rPr>
        <w:t>索赔费用计算公式如下：</w:t>
      </w:r>
    </w:p>
    <w:p w14:paraId="4A58F0D7">
      <w:pPr>
        <w:snapToGrid w:val="0"/>
        <w:ind w:firstLine="480" w:firstLineChars="200"/>
        <w:rPr>
          <w:rFonts w:hint="eastAsia" w:ascii="仿宋" w:hAnsi="仿宋" w:eastAsia="仿宋" w:cs="Times New Roman"/>
          <w:color w:val="auto"/>
          <w:kern w:val="2"/>
          <w:sz w:val="24"/>
          <w:szCs w:val="24"/>
          <w:highlight w:val="none"/>
          <w:u w:val="none"/>
        </w:rPr>
      </w:pPr>
      <w:r>
        <w:rPr>
          <w:rFonts w:hint="eastAsia" w:ascii="仿宋" w:hAnsi="仿宋" w:eastAsia="仿宋" w:cs="Times New Roman"/>
          <w:color w:val="auto"/>
          <w:kern w:val="2"/>
          <w:sz w:val="24"/>
          <w:szCs w:val="24"/>
          <w:highlight w:val="none"/>
          <w:u w:val="none"/>
        </w:rPr>
        <w:t>燃动力费=炉膛材料甩料件数×下料单重×单吨能耗；</w:t>
      </w:r>
    </w:p>
    <w:p w14:paraId="2E621114">
      <w:pPr>
        <w:snapToGrid w:val="0"/>
        <w:ind w:firstLine="480" w:firstLineChars="200"/>
        <w:rPr>
          <w:rFonts w:hint="eastAsia" w:ascii="仿宋" w:hAnsi="仿宋" w:eastAsia="仿宋" w:cs="Times New Roman"/>
          <w:color w:val="auto"/>
          <w:kern w:val="2"/>
          <w:sz w:val="24"/>
          <w:szCs w:val="24"/>
          <w:highlight w:val="none"/>
          <w:u w:val="none"/>
        </w:rPr>
      </w:pPr>
      <w:r>
        <w:rPr>
          <w:rFonts w:hint="eastAsia" w:ascii="仿宋" w:hAnsi="仿宋" w:eastAsia="仿宋" w:cs="Times New Roman"/>
          <w:color w:val="auto"/>
          <w:kern w:val="2"/>
          <w:sz w:val="24"/>
          <w:szCs w:val="24"/>
          <w:highlight w:val="none"/>
          <w:u w:val="none"/>
        </w:rPr>
        <w:t>人工成本=影响时间×小时单人人工成本×产线人数</w:t>
      </w:r>
    </w:p>
    <w:p w14:paraId="359ACACB">
      <w:pPr>
        <w:snapToGrid w:val="0"/>
        <w:ind w:firstLine="480" w:firstLineChars="200"/>
        <w:rPr>
          <w:rFonts w:hint="eastAsia" w:ascii="仿宋" w:hAnsi="仿宋" w:eastAsia="仿宋" w:cs="Times New Roman"/>
          <w:color w:val="auto"/>
          <w:kern w:val="2"/>
          <w:sz w:val="24"/>
          <w:szCs w:val="24"/>
          <w:highlight w:val="none"/>
          <w:u w:val="none"/>
        </w:rPr>
      </w:pPr>
      <w:r>
        <w:rPr>
          <w:rFonts w:hint="eastAsia" w:ascii="仿宋" w:hAnsi="仿宋" w:eastAsia="仿宋" w:cs="Times New Roman"/>
          <w:color w:val="auto"/>
          <w:kern w:val="2"/>
          <w:sz w:val="24"/>
          <w:szCs w:val="24"/>
          <w:highlight w:val="none"/>
          <w:u w:val="none"/>
        </w:rPr>
        <w:t>废品损失=废品件数×单件成本（按实际发生核算）</w:t>
      </w:r>
    </w:p>
    <w:p w14:paraId="0FA79F2B">
      <w:pPr>
        <w:snapToGrid w:val="0"/>
        <w:ind w:firstLine="480" w:firstLineChars="200"/>
        <w:rPr>
          <w:rFonts w:hint="eastAsia" w:ascii="仿宋" w:hAnsi="仿宋" w:eastAsia="仿宋" w:cs="Times New Roman"/>
          <w:color w:val="auto"/>
          <w:kern w:val="2"/>
          <w:sz w:val="24"/>
          <w:szCs w:val="24"/>
          <w:highlight w:val="none"/>
          <w:u w:val="none"/>
        </w:rPr>
      </w:pPr>
      <w:r>
        <w:rPr>
          <w:rFonts w:hint="eastAsia" w:ascii="仿宋" w:hAnsi="仿宋" w:eastAsia="仿宋" w:cs="Times New Roman"/>
          <w:color w:val="auto"/>
          <w:kern w:val="2"/>
          <w:sz w:val="24"/>
          <w:szCs w:val="24"/>
          <w:highlight w:val="none"/>
          <w:u w:val="none"/>
        </w:rPr>
        <w:t>其他：因模具问题导致的其他损失（包括但不限于模具质量问题导致的设备故障、辅料浪费等）</w:t>
      </w:r>
    </w:p>
    <w:tbl>
      <w:tblPr>
        <w:tblStyle w:val="32"/>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009"/>
        <w:gridCol w:w="4500"/>
      </w:tblGrid>
      <w:tr w14:paraId="5E3D57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2009" w:type="dxa"/>
            <w:noWrap w:val="0"/>
            <w:vAlign w:val="top"/>
          </w:tcPr>
          <w:p w14:paraId="09C1114D">
            <w:pPr>
              <w:pStyle w:val="27"/>
              <w:keepNext w:val="0"/>
              <w:keepLines w:val="0"/>
              <w:widowControl/>
              <w:suppressLineNumbers w:val="0"/>
              <w:jc w:val="center"/>
              <w:rPr>
                <w:rFonts w:hint="eastAsia" w:ascii="仿宋" w:hAnsi="仿宋" w:eastAsia="仿宋" w:cs="Times New Roman"/>
                <w:color w:val="auto"/>
                <w:kern w:val="2"/>
                <w:sz w:val="24"/>
                <w:szCs w:val="24"/>
                <w:highlight w:val="none"/>
                <w:u w:val="none"/>
                <w:lang w:val="en-US" w:eastAsia="zh-CN" w:bidi="ar-SA"/>
              </w:rPr>
            </w:pPr>
            <w:r>
              <w:rPr>
                <w:rFonts w:hint="eastAsia" w:ascii="仿宋" w:hAnsi="仿宋" w:eastAsia="仿宋" w:cs="Times New Roman"/>
                <w:color w:val="auto"/>
                <w:kern w:val="2"/>
                <w:sz w:val="24"/>
                <w:szCs w:val="24"/>
                <w:highlight w:val="none"/>
                <w:u w:val="none"/>
                <w:lang w:val="en-US" w:eastAsia="zh-CN" w:bidi="ar-SA"/>
              </w:rPr>
              <w:t>项目</w:t>
            </w:r>
          </w:p>
        </w:tc>
        <w:tc>
          <w:tcPr>
            <w:tcW w:w="4500" w:type="dxa"/>
            <w:noWrap w:val="0"/>
            <w:vAlign w:val="top"/>
          </w:tcPr>
          <w:p w14:paraId="7F10594C">
            <w:pPr>
              <w:pStyle w:val="27"/>
              <w:keepNext w:val="0"/>
              <w:keepLines w:val="0"/>
              <w:widowControl/>
              <w:suppressLineNumbers w:val="0"/>
              <w:jc w:val="center"/>
              <w:rPr>
                <w:rFonts w:hint="eastAsia" w:ascii="仿宋" w:hAnsi="仿宋" w:eastAsia="仿宋" w:cs="Times New Roman"/>
                <w:color w:val="auto"/>
                <w:kern w:val="2"/>
                <w:sz w:val="24"/>
                <w:szCs w:val="24"/>
                <w:highlight w:val="none"/>
                <w:u w:val="none"/>
                <w:lang w:val="en-US" w:eastAsia="zh-CN" w:bidi="ar-SA"/>
              </w:rPr>
            </w:pPr>
            <w:r>
              <w:rPr>
                <w:rFonts w:hint="eastAsia" w:ascii="仿宋" w:hAnsi="仿宋" w:eastAsia="仿宋" w:cs="Times New Roman"/>
                <w:color w:val="auto"/>
                <w:kern w:val="2"/>
                <w:sz w:val="24"/>
                <w:szCs w:val="24"/>
                <w:highlight w:val="none"/>
                <w:u w:val="none"/>
                <w:lang w:val="en-US" w:eastAsia="zh-CN" w:bidi="ar-SA"/>
              </w:rPr>
              <w:t>单价</w:t>
            </w:r>
          </w:p>
        </w:tc>
      </w:tr>
      <w:tr w14:paraId="1A8FCE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2009" w:type="dxa"/>
            <w:noWrap w:val="0"/>
            <w:vAlign w:val="center"/>
          </w:tcPr>
          <w:p w14:paraId="7E23E5B2">
            <w:pPr>
              <w:pStyle w:val="27"/>
              <w:keepNext w:val="0"/>
              <w:keepLines w:val="0"/>
              <w:widowControl/>
              <w:suppressLineNumbers w:val="0"/>
              <w:jc w:val="center"/>
              <w:rPr>
                <w:rFonts w:hint="eastAsia" w:ascii="仿宋" w:hAnsi="仿宋" w:eastAsia="仿宋" w:cs="Times New Roman"/>
                <w:color w:val="auto"/>
                <w:kern w:val="2"/>
                <w:sz w:val="24"/>
                <w:szCs w:val="24"/>
                <w:highlight w:val="none"/>
                <w:u w:val="none"/>
                <w:lang w:val="en-US" w:eastAsia="zh-CN" w:bidi="ar-SA"/>
              </w:rPr>
            </w:pPr>
            <w:r>
              <w:rPr>
                <w:rFonts w:hint="eastAsia" w:ascii="仿宋" w:hAnsi="仿宋" w:eastAsia="仿宋" w:cs="Times New Roman"/>
                <w:color w:val="auto"/>
                <w:kern w:val="2"/>
                <w:sz w:val="24"/>
                <w:szCs w:val="24"/>
                <w:highlight w:val="none"/>
                <w:u w:val="none"/>
                <w:lang w:val="en-US" w:eastAsia="zh-CN" w:bidi="ar-SA"/>
              </w:rPr>
              <w:t>燃动力费</w:t>
            </w:r>
          </w:p>
        </w:tc>
        <w:tc>
          <w:tcPr>
            <w:tcW w:w="4500" w:type="dxa"/>
            <w:noWrap w:val="0"/>
            <w:vAlign w:val="top"/>
          </w:tcPr>
          <w:p w14:paraId="04F3300B">
            <w:pPr>
              <w:pStyle w:val="27"/>
              <w:keepNext w:val="0"/>
              <w:keepLines w:val="0"/>
              <w:widowControl/>
              <w:suppressLineNumbers w:val="0"/>
              <w:jc w:val="center"/>
              <w:rPr>
                <w:rFonts w:hint="eastAsia" w:ascii="仿宋" w:hAnsi="仿宋" w:eastAsia="仿宋" w:cs="Times New Roman"/>
                <w:color w:val="auto"/>
                <w:kern w:val="2"/>
                <w:sz w:val="24"/>
                <w:szCs w:val="24"/>
                <w:highlight w:val="none"/>
                <w:u w:val="none"/>
                <w:lang w:val="en-US" w:eastAsia="zh-CN" w:bidi="ar-SA"/>
              </w:rPr>
            </w:pPr>
            <w:r>
              <w:rPr>
                <w:rFonts w:hint="eastAsia" w:ascii="仿宋" w:hAnsi="仿宋" w:eastAsia="仿宋" w:cs="Times New Roman"/>
                <w:color w:val="auto"/>
                <w:kern w:val="2"/>
                <w:sz w:val="24"/>
                <w:szCs w:val="24"/>
                <w:highlight w:val="none"/>
                <w:u w:val="none"/>
                <w:lang w:val="en-US" w:eastAsia="zh-CN" w:bidi="ar-SA"/>
              </w:rPr>
              <w:t>540元/吨（料段）</w:t>
            </w:r>
          </w:p>
        </w:tc>
      </w:tr>
      <w:tr w14:paraId="0692B6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2009" w:type="dxa"/>
            <w:noWrap w:val="0"/>
            <w:vAlign w:val="center"/>
          </w:tcPr>
          <w:p w14:paraId="7940F1AD">
            <w:pPr>
              <w:pStyle w:val="27"/>
              <w:keepNext w:val="0"/>
              <w:keepLines w:val="0"/>
              <w:widowControl/>
              <w:suppressLineNumbers w:val="0"/>
              <w:jc w:val="center"/>
              <w:rPr>
                <w:rFonts w:hint="eastAsia" w:ascii="仿宋" w:hAnsi="仿宋" w:eastAsia="仿宋" w:cs="Times New Roman"/>
                <w:color w:val="auto"/>
                <w:kern w:val="2"/>
                <w:sz w:val="24"/>
                <w:szCs w:val="24"/>
                <w:highlight w:val="none"/>
                <w:u w:val="none"/>
                <w:lang w:val="en-US" w:eastAsia="zh-CN" w:bidi="ar-SA"/>
              </w:rPr>
            </w:pPr>
            <w:r>
              <w:rPr>
                <w:rFonts w:hint="eastAsia" w:ascii="仿宋" w:hAnsi="仿宋" w:eastAsia="仿宋" w:cs="Times New Roman"/>
                <w:color w:val="auto"/>
                <w:kern w:val="2"/>
                <w:sz w:val="24"/>
                <w:szCs w:val="24"/>
                <w:highlight w:val="none"/>
                <w:u w:val="none"/>
                <w:lang w:val="en-US" w:eastAsia="zh-CN" w:bidi="ar-SA"/>
              </w:rPr>
              <w:t>人工成本</w:t>
            </w:r>
          </w:p>
        </w:tc>
        <w:tc>
          <w:tcPr>
            <w:tcW w:w="4500" w:type="dxa"/>
            <w:noWrap w:val="0"/>
            <w:vAlign w:val="top"/>
          </w:tcPr>
          <w:p w14:paraId="2AFA45A8">
            <w:pPr>
              <w:pStyle w:val="27"/>
              <w:keepNext w:val="0"/>
              <w:keepLines w:val="0"/>
              <w:widowControl/>
              <w:suppressLineNumbers w:val="0"/>
              <w:jc w:val="center"/>
              <w:rPr>
                <w:rFonts w:hint="eastAsia" w:ascii="仿宋" w:hAnsi="仿宋" w:eastAsia="仿宋" w:cs="Times New Roman"/>
                <w:color w:val="auto"/>
                <w:kern w:val="2"/>
                <w:sz w:val="24"/>
                <w:szCs w:val="24"/>
                <w:highlight w:val="none"/>
                <w:u w:val="none"/>
                <w:lang w:val="en-US" w:eastAsia="zh-CN" w:bidi="ar-SA"/>
              </w:rPr>
            </w:pPr>
            <w:r>
              <w:rPr>
                <w:rFonts w:hint="eastAsia" w:ascii="仿宋" w:hAnsi="仿宋" w:eastAsia="仿宋" w:cs="Times New Roman"/>
                <w:color w:val="auto"/>
                <w:kern w:val="2"/>
                <w:sz w:val="24"/>
                <w:szCs w:val="24"/>
                <w:highlight w:val="none"/>
                <w:u w:val="none"/>
                <w:lang w:val="en-US" w:eastAsia="zh-CN" w:bidi="ar-SA"/>
              </w:rPr>
              <w:t>51元/小时（每人）</w:t>
            </w:r>
          </w:p>
        </w:tc>
      </w:tr>
      <w:tr w14:paraId="7A833D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2009" w:type="dxa"/>
            <w:noWrap w:val="0"/>
            <w:vAlign w:val="top"/>
          </w:tcPr>
          <w:p w14:paraId="7CC6B129">
            <w:pPr>
              <w:pStyle w:val="27"/>
              <w:keepNext w:val="0"/>
              <w:keepLines w:val="0"/>
              <w:widowControl/>
              <w:suppressLineNumbers w:val="0"/>
              <w:jc w:val="center"/>
              <w:rPr>
                <w:rFonts w:hint="eastAsia" w:ascii="仿宋" w:hAnsi="仿宋" w:eastAsia="仿宋" w:cs="Times New Roman"/>
                <w:color w:val="auto"/>
                <w:kern w:val="2"/>
                <w:sz w:val="24"/>
                <w:szCs w:val="24"/>
                <w:highlight w:val="none"/>
                <w:u w:val="none"/>
                <w:lang w:val="en-US" w:eastAsia="zh-CN" w:bidi="ar-SA"/>
              </w:rPr>
            </w:pPr>
            <w:r>
              <w:rPr>
                <w:rFonts w:hint="eastAsia" w:ascii="仿宋" w:hAnsi="仿宋" w:eastAsia="仿宋" w:cs="Times New Roman"/>
                <w:color w:val="auto"/>
                <w:kern w:val="2"/>
                <w:sz w:val="24"/>
                <w:szCs w:val="24"/>
                <w:highlight w:val="none"/>
                <w:u w:val="none"/>
                <w:lang w:val="en-US" w:eastAsia="zh-CN" w:bidi="ar-SA"/>
              </w:rPr>
              <w:t>废品损失</w:t>
            </w:r>
          </w:p>
        </w:tc>
        <w:tc>
          <w:tcPr>
            <w:tcW w:w="4500" w:type="dxa"/>
            <w:noWrap w:val="0"/>
            <w:vAlign w:val="top"/>
          </w:tcPr>
          <w:p w14:paraId="1E47A691">
            <w:pPr>
              <w:pStyle w:val="27"/>
              <w:keepNext w:val="0"/>
              <w:keepLines w:val="0"/>
              <w:widowControl/>
              <w:suppressLineNumbers w:val="0"/>
              <w:jc w:val="center"/>
              <w:rPr>
                <w:rFonts w:hint="eastAsia" w:ascii="仿宋" w:hAnsi="仿宋" w:eastAsia="仿宋" w:cs="Times New Roman"/>
                <w:color w:val="auto"/>
                <w:kern w:val="2"/>
                <w:sz w:val="24"/>
                <w:szCs w:val="24"/>
                <w:highlight w:val="none"/>
                <w:u w:val="none"/>
                <w:lang w:val="en-US" w:eastAsia="zh-CN" w:bidi="ar-SA"/>
              </w:rPr>
            </w:pPr>
            <w:r>
              <w:rPr>
                <w:rFonts w:hint="eastAsia" w:ascii="仿宋" w:hAnsi="仿宋" w:eastAsia="仿宋" w:cs="Times New Roman"/>
                <w:color w:val="auto"/>
                <w:kern w:val="2"/>
                <w:sz w:val="24"/>
                <w:szCs w:val="24"/>
                <w:highlight w:val="none"/>
                <w:u w:val="none"/>
                <w:lang w:val="en-US" w:eastAsia="zh-CN" w:bidi="ar-SA"/>
              </w:rPr>
              <w:t>按单件废品损失计</w:t>
            </w:r>
          </w:p>
        </w:tc>
      </w:tr>
      <w:tr w14:paraId="350348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0" w:hRule="atLeast"/>
          <w:jc w:val="center"/>
        </w:trPr>
        <w:tc>
          <w:tcPr>
            <w:tcW w:w="6509" w:type="dxa"/>
            <w:gridSpan w:val="2"/>
            <w:noWrap w:val="0"/>
            <w:vAlign w:val="top"/>
          </w:tcPr>
          <w:p w14:paraId="78AC0099">
            <w:pPr>
              <w:pStyle w:val="27"/>
              <w:keepNext w:val="0"/>
              <w:keepLines w:val="0"/>
              <w:widowControl/>
              <w:suppressLineNumbers w:val="0"/>
              <w:rPr>
                <w:rFonts w:hint="eastAsia" w:ascii="仿宋" w:hAnsi="仿宋" w:eastAsia="仿宋" w:cs="Times New Roman"/>
                <w:color w:val="auto"/>
                <w:kern w:val="2"/>
                <w:sz w:val="24"/>
                <w:szCs w:val="24"/>
                <w:highlight w:val="none"/>
                <w:u w:val="none"/>
                <w:lang w:val="en-US" w:eastAsia="zh-CN" w:bidi="ar-SA"/>
              </w:rPr>
            </w:pPr>
            <w:r>
              <w:rPr>
                <w:rFonts w:hint="eastAsia" w:ascii="仿宋" w:hAnsi="仿宋" w:eastAsia="仿宋" w:cs="Times New Roman"/>
                <w:color w:val="auto"/>
                <w:kern w:val="2"/>
                <w:sz w:val="24"/>
                <w:szCs w:val="24"/>
                <w:highlight w:val="none"/>
                <w:u w:val="none"/>
                <w:lang w:val="en-US" w:eastAsia="zh-CN" w:bidi="ar-SA"/>
              </w:rPr>
              <w:t>备注：以上单价为当前核算价，合同有效期内甲方有权根据实际费用情况进行调整。</w:t>
            </w:r>
          </w:p>
        </w:tc>
      </w:tr>
    </w:tbl>
    <w:p w14:paraId="376D2E07">
      <w:pPr>
        <w:pStyle w:val="113"/>
        <w:rPr>
          <w:rFonts w:hint="eastAsia" w:ascii="仿宋" w:hAnsi="仿宋" w:eastAsia="仿宋" w:cs="Times New Roman"/>
          <w:kern w:val="2"/>
          <w:sz w:val="24"/>
          <w:szCs w:val="24"/>
          <w:highlight w:val="none"/>
          <w:u w:val="none"/>
        </w:rPr>
      </w:pPr>
    </w:p>
    <w:p w14:paraId="7562A301">
      <w:pPr>
        <w:pStyle w:val="113"/>
        <w:ind w:firstLine="480" w:firstLineChars="200"/>
        <w:rPr>
          <w:rFonts w:ascii="仿宋" w:hAnsi="仿宋" w:eastAsia="仿宋" w:cs="Times New Roman"/>
          <w:kern w:val="2"/>
          <w:sz w:val="24"/>
          <w:szCs w:val="24"/>
          <w:highlight w:val="none"/>
          <w:u w:val="none"/>
        </w:rPr>
      </w:pPr>
      <w:r>
        <w:rPr>
          <w:rFonts w:hint="eastAsia" w:ascii="仿宋" w:hAnsi="仿宋" w:eastAsia="仿宋" w:cs="Times New Roman"/>
          <w:kern w:val="2"/>
          <w:sz w:val="24"/>
          <w:szCs w:val="24"/>
          <w:highlight w:val="none"/>
          <w:u w:val="none"/>
        </w:rPr>
        <w:t>6.2.8对于已付款的不合格的外制外协工装，每月由甲方技术质量部门开据《质量索赔通知单》，并通知乙方确认。</w:t>
      </w:r>
    </w:p>
    <w:p w14:paraId="105A1AA1">
      <w:pPr>
        <w:pStyle w:val="113"/>
        <w:ind w:firstLine="482" w:firstLineChars="200"/>
        <w:rPr>
          <w:rFonts w:ascii="仿宋" w:hAnsi="仿宋" w:eastAsia="仿宋"/>
          <w:b/>
          <w:sz w:val="24"/>
          <w:szCs w:val="24"/>
          <w:highlight w:val="none"/>
          <w:u w:val="none"/>
        </w:rPr>
      </w:pPr>
      <w:r>
        <w:rPr>
          <w:rFonts w:hint="eastAsia" w:ascii="仿宋" w:hAnsi="仿宋" w:eastAsia="仿宋"/>
          <w:b/>
          <w:sz w:val="24"/>
          <w:szCs w:val="24"/>
          <w:highlight w:val="none"/>
          <w:u w:val="none"/>
        </w:rPr>
        <w:t>7</w:t>
      </w:r>
      <w:r>
        <w:rPr>
          <w:rFonts w:hint="eastAsia" w:ascii="仿宋" w:hAnsi="仿宋" w:eastAsia="仿宋" w:cs="Times New Roman"/>
          <w:b/>
          <w:sz w:val="24"/>
          <w:szCs w:val="24"/>
          <w:highlight w:val="none"/>
          <w:u w:val="none"/>
        </w:rPr>
        <w:t>．</w:t>
      </w:r>
      <w:r>
        <w:rPr>
          <w:rFonts w:hint="eastAsia" w:ascii="仿宋" w:hAnsi="仿宋" w:eastAsia="仿宋"/>
          <w:b/>
          <w:sz w:val="24"/>
          <w:szCs w:val="24"/>
          <w:highlight w:val="none"/>
          <w:u w:val="none"/>
        </w:rPr>
        <w:t>法律适用与争议解决</w:t>
      </w:r>
    </w:p>
    <w:p w14:paraId="725D4CBB">
      <w:pPr>
        <w:pStyle w:val="113"/>
        <w:ind w:firstLine="480" w:firstLineChars="200"/>
        <w:rPr>
          <w:rFonts w:ascii="仿宋" w:hAnsi="仿宋" w:eastAsia="仿宋"/>
          <w:sz w:val="24"/>
          <w:szCs w:val="24"/>
          <w:highlight w:val="none"/>
          <w:u w:val="none"/>
        </w:rPr>
      </w:pPr>
      <w:r>
        <w:rPr>
          <w:rFonts w:hint="eastAsia" w:ascii="仿宋" w:hAnsi="仿宋" w:eastAsia="仿宋"/>
          <w:sz w:val="24"/>
          <w:szCs w:val="24"/>
          <w:highlight w:val="none"/>
          <w:u w:val="none"/>
        </w:rPr>
        <w:t>本协议受中华人民共和国法律的管辖。由本协议产生或与本协议有关的所有争议，若无法在争议发生后30日内通过双方友好协商解决，则本协议任何一方有权将争议提交至甲方住所地有管辖权的人民法院诉讼解决。</w:t>
      </w:r>
    </w:p>
    <w:p w14:paraId="74FD208C">
      <w:pPr>
        <w:pStyle w:val="113"/>
        <w:ind w:firstLine="482" w:firstLineChars="200"/>
        <w:rPr>
          <w:rFonts w:ascii="仿宋" w:hAnsi="仿宋" w:eastAsia="仿宋"/>
          <w:sz w:val="24"/>
          <w:szCs w:val="24"/>
          <w:highlight w:val="none"/>
          <w:u w:val="none"/>
        </w:rPr>
      </w:pPr>
      <w:r>
        <w:rPr>
          <w:rFonts w:hint="eastAsia" w:ascii="仿宋" w:hAnsi="仿宋" w:eastAsia="仿宋" w:cs="Times New Roman"/>
          <w:b/>
          <w:sz w:val="24"/>
          <w:szCs w:val="24"/>
          <w:highlight w:val="none"/>
          <w:u w:val="none"/>
        </w:rPr>
        <w:t>8．</w:t>
      </w:r>
      <w:r>
        <w:rPr>
          <w:rFonts w:hint="eastAsia" w:ascii="仿宋" w:hAnsi="仿宋" w:eastAsia="仿宋"/>
          <w:b/>
          <w:sz w:val="24"/>
          <w:szCs w:val="24"/>
          <w:highlight w:val="none"/>
          <w:u w:val="none"/>
        </w:rPr>
        <w:t>其他规定</w:t>
      </w:r>
    </w:p>
    <w:p w14:paraId="2CBE6878">
      <w:pPr>
        <w:pStyle w:val="113"/>
        <w:ind w:firstLine="480" w:firstLineChars="200"/>
        <w:rPr>
          <w:rFonts w:ascii="仿宋" w:hAnsi="仿宋" w:eastAsia="仿宋"/>
          <w:sz w:val="24"/>
          <w:szCs w:val="24"/>
          <w:highlight w:val="none"/>
          <w:u w:val="none"/>
        </w:rPr>
      </w:pPr>
      <w:r>
        <w:rPr>
          <w:rFonts w:hint="eastAsia" w:ascii="仿宋" w:hAnsi="仿宋" w:eastAsia="仿宋"/>
          <w:sz w:val="24"/>
          <w:szCs w:val="24"/>
          <w:highlight w:val="none"/>
          <w:u w:val="none"/>
        </w:rPr>
        <w:t>8.1本协议终止（中止）时，乙方需将甲方提供的技术资料（含复印件）、工装模具等如数交还甲方，并对甲方相关的所有技术资料进行保密。</w:t>
      </w:r>
    </w:p>
    <w:p w14:paraId="76381E22">
      <w:pPr>
        <w:pStyle w:val="113"/>
        <w:ind w:firstLine="480" w:firstLineChars="200"/>
        <w:rPr>
          <w:rFonts w:ascii="仿宋" w:hAnsi="仿宋" w:eastAsia="仿宋"/>
          <w:sz w:val="24"/>
          <w:szCs w:val="24"/>
          <w:highlight w:val="none"/>
          <w:u w:val="none"/>
        </w:rPr>
      </w:pPr>
      <w:r>
        <w:rPr>
          <w:rFonts w:hint="eastAsia" w:ascii="仿宋" w:hAnsi="仿宋" w:eastAsia="仿宋"/>
          <w:sz w:val="24"/>
          <w:szCs w:val="24"/>
          <w:highlight w:val="none"/>
          <w:u w:val="none"/>
        </w:rPr>
        <w:t>8.2乙方不得与甲方的客户直接发生与甲方采购产品有关的任何商务往来。</w:t>
      </w:r>
    </w:p>
    <w:p w14:paraId="225AEF0B">
      <w:pPr>
        <w:pStyle w:val="113"/>
        <w:ind w:firstLine="480" w:firstLineChars="200"/>
        <w:rPr>
          <w:rFonts w:ascii="仿宋" w:hAnsi="仿宋" w:eastAsia="仿宋"/>
          <w:sz w:val="24"/>
          <w:szCs w:val="24"/>
          <w:highlight w:val="none"/>
          <w:u w:val="none"/>
        </w:rPr>
      </w:pPr>
      <w:r>
        <w:rPr>
          <w:rFonts w:hint="eastAsia" w:ascii="仿宋" w:hAnsi="仿宋" w:eastAsia="仿宋"/>
          <w:sz w:val="24"/>
          <w:szCs w:val="24"/>
          <w:highlight w:val="none"/>
          <w:u w:val="none"/>
        </w:rPr>
        <w:t>8.3乙方违反本协议各项条款，甲方有权中止与乙方签订的采购合同，由此造成的一切损失由乙方承担。</w:t>
      </w:r>
    </w:p>
    <w:p w14:paraId="0B4813CD">
      <w:pPr>
        <w:pStyle w:val="113"/>
        <w:ind w:firstLine="480" w:firstLineChars="200"/>
        <w:rPr>
          <w:rFonts w:ascii="仿宋" w:hAnsi="仿宋" w:eastAsia="仿宋"/>
          <w:sz w:val="24"/>
          <w:szCs w:val="24"/>
          <w:highlight w:val="none"/>
          <w:u w:val="none"/>
        </w:rPr>
      </w:pPr>
      <w:r>
        <w:rPr>
          <w:rFonts w:hint="eastAsia" w:ascii="仿宋" w:hAnsi="仿宋" w:eastAsia="仿宋"/>
          <w:sz w:val="24"/>
          <w:szCs w:val="24"/>
          <w:highlight w:val="none"/>
          <w:u w:val="none"/>
        </w:rPr>
        <w:t>8.4本协议书自双方代表签字并盖章后生效，有效期限为</w:t>
      </w:r>
      <w:r>
        <w:rPr>
          <w:rFonts w:hint="eastAsia" w:ascii="仿宋" w:hAnsi="仿宋" w:eastAsia="仿宋"/>
          <w:sz w:val="24"/>
          <w:szCs w:val="24"/>
          <w:highlight w:val="none"/>
          <w:u w:val="none"/>
          <w:lang w:eastAsia="zh-CN"/>
        </w:rPr>
        <w:t>2026</w:t>
      </w:r>
      <w:r>
        <w:rPr>
          <w:rFonts w:hint="eastAsia" w:ascii="仿宋" w:hAnsi="仿宋" w:eastAsia="仿宋"/>
          <w:sz w:val="24"/>
          <w:szCs w:val="24"/>
          <w:highlight w:val="none"/>
          <w:u w:val="none"/>
        </w:rPr>
        <w:t>年</w:t>
      </w:r>
      <w:r>
        <w:rPr>
          <w:rFonts w:hint="eastAsia" w:ascii="仿宋" w:hAnsi="仿宋" w:eastAsia="仿宋"/>
          <w:sz w:val="24"/>
          <w:szCs w:val="24"/>
          <w:highlight w:val="none"/>
          <w:u w:val="none"/>
          <w:lang w:val="en-US" w:eastAsia="zh-CN"/>
        </w:rPr>
        <w:t>X</w:t>
      </w:r>
      <w:r>
        <w:rPr>
          <w:rFonts w:hint="eastAsia" w:ascii="仿宋" w:hAnsi="仿宋" w:eastAsia="仿宋"/>
          <w:sz w:val="24"/>
          <w:szCs w:val="24"/>
          <w:highlight w:val="none"/>
          <w:u w:val="none"/>
        </w:rPr>
        <w:t>月</w:t>
      </w:r>
      <w:r>
        <w:rPr>
          <w:rFonts w:hint="eastAsia" w:ascii="仿宋" w:hAnsi="仿宋" w:eastAsia="仿宋"/>
          <w:sz w:val="24"/>
          <w:szCs w:val="24"/>
          <w:highlight w:val="none"/>
          <w:u w:val="none"/>
          <w:lang w:val="en-US" w:eastAsia="zh-CN"/>
        </w:rPr>
        <w:t>X</w:t>
      </w:r>
      <w:r>
        <w:rPr>
          <w:rFonts w:hint="eastAsia" w:ascii="仿宋" w:hAnsi="仿宋" w:eastAsia="仿宋"/>
          <w:sz w:val="24"/>
          <w:szCs w:val="24"/>
          <w:highlight w:val="none"/>
          <w:u w:val="none"/>
        </w:rPr>
        <w:t>日至202</w:t>
      </w:r>
      <w:r>
        <w:rPr>
          <w:rFonts w:hint="eastAsia" w:ascii="仿宋" w:hAnsi="仿宋" w:eastAsia="仿宋"/>
          <w:sz w:val="24"/>
          <w:szCs w:val="24"/>
          <w:highlight w:val="none"/>
          <w:u w:val="none"/>
          <w:lang w:val="en-US" w:eastAsia="zh-CN"/>
        </w:rPr>
        <w:t>6</w:t>
      </w:r>
      <w:r>
        <w:rPr>
          <w:rFonts w:hint="eastAsia" w:ascii="仿宋" w:hAnsi="仿宋" w:eastAsia="仿宋"/>
          <w:sz w:val="24"/>
          <w:szCs w:val="24"/>
          <w:highlight w:val="none"/>
          <w:u w:val="none"/>
        </w:rPr>
        <w:t>年</w:t>
      </w:r>
      <w:r>
        <w:rPr>
          <w:rFonts w:hint="eastAsia" w:ascii="仿宋" w:hAnsi="仿宋" w:eastAsia="仿宋"/>
          <w:sz w:val="24"/>
          <w:szCs w:val="24"/>
          <w:highlight w:val="none"/>
          <w:u w:val="none"/>
          <w:lang w:val="en-US" w:eastAsia="zh-CN"/>
        </w:rPr>
        <w:t>X</w:t>
      </w:r>
      <w:r>
        <w:rPr>
          <w:rFonts w:hint="eastAsia" w:ascii="仿宋" w:hAnsi="仿宋" w:eastAsia="仿宋"/>
          <w:sz w:val="24"/>
          <w:szCs w:val="24"/>
          <w:highlight w:val="none"/>
          <w:u w:val="none"/>
        </w:rPr>
        <w:t>月</w:t>
      </w:r>
      <w:r>
        <w:rPr>
          <w:rFonts w:hint="eastAsia" w:ascii="仿宋" w:hAnsi="仿宋" w:eastAsia="仿宋"/>
          <w:sz w:val="24"/>
          <w:szCs w:val="24"/>
          <w:highlight w:val="none"/>
          <w:u w:val="none"/>
          <w:lang w:val="en-US" w:eastAsia="zh-CN"/>
        </w:rPr>
        <w:t>X</w:t>
      </w:r>
      <w:r>
        <w:rPr>
          <w:rFonts w:hint="eastAsia" w:ascii="仿宋" w:hAnsi="仿宋" w:eastAsia="仿宋"/>
          <w:sz w:val="24"/>
          <w:szCs w:val="24"/>
          <w:highlight w:val="none"/>
          <w:u w:val="none"/>
        </w:rPr>
        <w:t>日。协议到期后如双方均无异议，则本协议延续一年，最多可延续两次。</w:t>
      </w:r>
    </w:p>
    <w:p w14:paraId="366FCAF6">
      <w:pPr>
        <w:pStyle w:val="113"/>
        <w:ind w:firstLine="480" w:firstLineChars="200"/>
        <w:rPr>
          <w:rFonts w:ascii="仿宋" w:hAnsi="仿宋" w:eastAsia="仿宋"/>
          <w:sz w:val="24"/>
          <w:szCs w:val="24"/>
          <w:highlight w:val="none"/>
          <w:u w:val="none"/>
        </w:rPr>
      </w:pPr>
      <w:r>
        <w:rPr>
          <w:rFonts w:hint="eastAsia" w:ascii="仿宋" w:hAnsi="仿宋" w:eastAsia="仿宋"/>
          <w:sz w:val="24"/>
          <w:szCs w:val="24"/>
          <w:highlight w:val="none"/>
          <w:u w:val="none"/>
        </w:rPr>
        <w:t>8.5 任何一方如欲修改本协议，需在协议到期前一个月书面通知另一方，本协议将到期终止，双方可另行签署新的《采购产品质量保证与服务协议》。</w:t>
      </w:r>
    </w:p>
    <w:p w14:paraId="1DD9AFD7">
      <w:pPr>
        <w:pStyle w:val="113"/>
        <w:ind w:firstLine="480" w:firstLineChars="200"/>
        <w:rPr>
          <w:rFonts w:ascii="仿宋" w:hAnsi="仿宋" w:eastAsia="仿宋"/>
          <w:sz w:val="24"/>
          <w:szCs w:val="24"/>
          <w:highlight w:val="none"/>
          <w:u w:val="none"/>
        </w:rPr>
      </w:pPr>
      <w:r>
        <w:rPr>
          <w:rFonts w:hint="eastAsia" w:ascii="仿宋" w:hAnsi="仿宋" w:eastAsia="仿宋"/>
          <w:sz w:val="24"/>
          <w:szCs w:val="24"/>
          <w:highlight w:val="none"/>
          <w:u w:val="none"/>
        </w:rPr>
        <w:t>8.6本协议生效后，甲方与乙方之前签订的质量保证协议即行废止。</w:t>
      </w:r>
    </w:p>
    <w:p w14:paraId="4C56ED05">
      <w:pPr>
        <w:pStyle w:val="113"/>
        <w:ind w:firstLine="480" w:firstLineChars="200"/>
        <w:rPr>
          <w:rFonts w:hint="eastAsia" w:ascii="仿宋" w:hAnsi="仿宋" w:eastAsia="仿宋"/>
          <w:sz w:val="24"/>
          <w:szCs w:val="24"/>
          <w:highlight w:val="none"/>
          <w:u w:val="none"/>
        </w:rPr>
      </w:pPr>
      <w:r>
        <w:rPr>
          <w:rFonts w:hint="eastAsia" w:ascii="仿宋" w:hAnsi="仿宋" w:eastAsia="仿宋"/>
          <w:sz w:val="24"/>
          <w:szCs w:val="24"/>
          <w:highlight w:val="none"/>
          <w:u w:val="none"/>
        </w:rPr>
        <w:t>8.7本协议一式两份，甲乙双方各执一份，具有同等法律效力。</w:t>
      </w:r>
    </w:p>
    <w:p w14:paraId="36196DD0">
      <w:pPr>
        <w:pStyle w:val="113"/>
        <w:ind w:firstLine="480" w:firstLineChars="200"/>
        <w:rPr>
          <w:rFonts w:hint="eastAsia" w:ascii="仿宋" w:hAnsi="仿宋" w:eastAsia="仿宋"/>
          <w:b w:val="0"/>
          <w:sz w:val="24"/>
          <w:szCs w:val="24"/>
          <w:u w:val="none"/>
        </w:rPr>
      </w:pPr>
      <w:r>
        <w:rPr>
          <w:rFonts w:hint="eastAsia" w:ascii="仿宋" w:hAnsi="仿宋" w:eastAsia="仿宋"/>
          <w:sz w:val="24"/>
          <w:szCs w:val="24"/>
          <w:u w:val="none"/>
        </w:rPr>
        <w:t>8.</w:t>
      </w:r>
      <w:r>
        <w:rPr>
          <w:rFonts w:hint="eastAsia" w:ascii="仿宋" w:hAnsi="仿宋" w:eastAsia="仿宋"/>
          <w:sz w:val="24"/>
          <w:szCs w:val="24"/>
          <w:u w:val="none"/>
          <w:lang w:val="en-US" w:eastAsia="zh-CN"/>
        </w:rPr>
        <w:t>8</w:t>
      </w:r>
      <w:r>
        <w:rPr>
          <w:rFonts w:hint="eastAsia" w:ascii="仿宋" w:hAnsi="仿宋" w:eastAsia="仿宋"/>
          <w:b w:val="0"/>
          <w:sz w:val="24"/>
          <w:szCs w:val="24"/>
          <w:u w:val="none"/>
        </w:rPr>
        <w:t>本</w:t>
      </w:r>
      <w:r>
        <w:rPr>
          <w:rFonts w:hint="eastAsia" w:ascii="仿宋" w:hAnsi="仿宋" w:eastAsia="仿宋"/>
          <w:sz w:val="24"/>
          <w:szCs w:val="24"/>
          <w:u w:val="none"/>
        </w:rPr>
        <w:t>协议</w:t>
      </w:r>
      <w:r>
        <w:rPr>
          <w:rFonts w:hint="eastAsia" w:ascii="仿宋" w:hAnsi="仿宋" w:eastAsia="仿宋"/>
          <w:b w:val="0"/>
          <w:sz w:val="24"/>
          <w:szCs w:val="24"/>
          <w:u w:val="none"/>
        </w:rPr>
        <w:t>的各签约方选择使用电子签约的，已由法定代表人本人或授权其代理人在电子签约平台进行了实名注册，并通过CA证书进行签约。电子签约的任一方均已知晓且同意通过代理人密码登录账户后的所有操作视为该方的行为，并自愿承担由此产生的一切法律后果。电子签约方的代理人包括在</w:t>
      </w:r>
      <w:r>
        <w:rPr>
          <w:rFonts w:hint="eastAsia" w:ascii="仿宋" w:hAnsi="仿宋" w:eastAsia="仿宋"/>
          <w:sz w:val="24"/>
          <w:szCs w:val="24"/>
          <w:u w:val="none"/>
        </w:rPr>
        <w:t>电子签约</w:t>
      </w:r>
      <w:r>
        <w:rPr>
          <w:rFonts w:hint="eastAsia" w:ascii="仿宋" w:hAnsi="仿宋" w:eastAsia="仿宋"/>
          <w:b w:val="0"/>
          <w:sz w:val="24"/>
          <w:szCs w:val="24"/>
          <w:u w:val="none"/>
        </w:rPr>
        <w:t>平台完成认证并具有相应盖章、签字权限的管理员、盖章人或签名人。电子签约方在相关电子合同通过CA证书进行电子签章的，视为该方有效签署合同。如各方签章时间不一致的，以最后签章的时间为准。本合同所有的手写涂改部分无效（个人手写签名除外）。</w:t>
      </w:r>
    </w:p>
    <w:p w14:paraId="72555657">
      <w:pPr>
        <w:pStyle w:val="113"/>
        <w:ind w:firstLine="480" w:firstLineChars="200"/>
        <w:rPr>
          <w:rFonts w:ascii="仿宋" w:hAnsi="仿宋" w:eastAsia="仿宋"/>
          <w:sz w:val="24"/>
          <w:szCs w:val="24"/>
          <w:u w:val="none"/>
        </w:rPr>
      </w:pPr>
      <w:r>
        <w:rPr>
          <w:rFonts w:hint="eastAsia" w:ascii="仿宋" w:hAnsi="仿宋" w:eastAsia="仿宋"/>
          <w:b w:val="0"/>
          <w:sz w:val="24"/>
          <w:szCs w:val="24"/>
          <w:u w:val="none"/>
        </w:rPr>
        <w:t>若一方不使用电子签约，此情形下各方认可并同意电子签章与在纸质合同上手写签名或者盖章具有同等的法律效力，一方在合同上使用电子签章，另一方将已完成电子签章的合同打印为纸质合同后，再于合同签署处加盖实物印章、手写签名视为双方已签署完毕。</w:t>
      </w:r>
    </w:p>
    <w:p w14:paraId="3D1F43C9">
      <w:pPr>
        <w:pStyle w:val="113"/>
        <w:rPr>
          <w:rFonts w:ascii="仿宋" w:hAnsi="仿宋" w:eastAsia="仿宋"/>
          <w:sz w:val="24"/>
          <w:szCs w:val="24"/>
          <w:highlight w:val="none"/>
          <w:u w:val="none"/>
        </w:rPr>
      </w:pPr>
    </w:p>
    <w:p w14:paraId="6C587325">
      <w:pPr>
        <w:pStyle w:val="113"/>
        <w:ind w:firstLine="480" w:firstLineChars="200"/>
        <w:rPr>
          <w:rFonts w:ascii="仿宋" w:hAnsi="仿宋" w:eastAsia="仿宋"/>
          <w:sz w:val="24"/>
          <w:szCs w:val="24"/>
          <w:highlight w:val="none"/>
          <w:u w:val="none"/>
        </w:rPr>
      </w:pPr>
    </w:p>
    <w:p w14:paraId="074D8D6E">
      <w:pPr>
        <w:pStyle w:val="113"/>
        <w:ind w:firstLine="480" w:firstLineChars="200"/>
        <w:rPr>
          <w:rFonts w:ascii="仿宋" w:hAnsi="仿宋" w:eastAsia="仿宋"/>
          <w:sz w:val="24"/>
          <w:szCs w:val="24"/>
          <w:highlight w:val="none"/>
          <w:u w:val="none"/>
        </w:rPr>
      </w:pPr>
    </w:p>
    <w:p w14:paraId="5BD70658">
      <w:pPr>
        <w:pStyle w:val="113"/>
        <w:ind w:firstLine="480" w:firstLineChars="200"/>
        <w:rPr>
          <w:rFonts w:ascii="仿宋" w:hAnsi="仿宋" w:eastAsia="仿宋"/>
          <w:sz w:val="24"/>
          <w:szCs w:val="24"/>
          <w:highlight w:val="none"/>
          <w:u w:val="none"/>
        </w:rPr>
      </w:pPr>
    </w:p>
    <w:p w14:paraId="133CDDC7">
      <w:pPr>
        <w:pStyle w:val="113"/>
        <w:ind w:firstLine="480" w:firstLineChars="200"/>
        <w:rPr>
          <w:rFonts w:ascii="仿宋" w:hAnsi="仿宋" w:eastAsia="仿宋"/>
          <w:sz w:val="24"/>
          <w:szCs w:val="24"/>
          <w:highlight w:val="none"/>
          <w:u w:val="none"/>
        </w:rPr>
      </w:pPr>
    </w:p>
    <w:p w14:paraId="325C8B95">
      <w:pPr>
        <w:pStyle w:val="113"/>
        <w:ind w:firstLine="480" w:firstLineChars="200"/>
        <w:rPr>
          <w:rFonts w:ascii="仿宋" w:hAnsi="仿宋" w:eastAsia="仿宋"/>
          <w:sz w:val="24"/>
          <w:szCs w:val="24"/>
          <w:highlight w:val="none"/>
          <w:u w:val="none"/>
        </w:rPr>
      </w:pPr>
    </w:p>
    <w:p w14:paraId="1348FB69">
      <w:pPr>
        <w:pStyle w:val="113"/>
        <w:ind w:firstLine="480" w:firstLineChars="200"/>
        <w:rPr>
          <w:rFonts w:ascii="仿宋" w:hAnsi="仿宋" w:eastAsia="仿宋"/>
          <w:sz w:val="24"/>
          <w:szCs w:val="24"/>
          <w:highlight w:val="none"/>
          <w:u w:val="none"/>
        </w:rPr>
      </w:pPr>
      <w:r>
        <w:rPr>
          <w:rFonts w:hint="eastAsia" w:ascii="仿宋" w:hAnsi="仿宋" w:eastAsia="仿宋"/>
          <w:sz w:val="24"/>
          <w:szCs w:val="24"/>
          <w:highlight w:val="none"/>
          <w:u w:val="none"/>
        </w:rPr>
        <w:t>甲方:(盖章)                            乙方：(盖章)</w:t>
      </w:r>
    </w:p>
    <w:p w14:paraId="1FD07819">
      <w:pPr>
        <w:pStyle w:val="113"/>
        <w:ind w:firstLine="480" w:firstLineChars="200"/>
        <w:rPr>
          <w:rFonts w:hint="eastAsia" w:ascii="仿宋" w:hAnsi="仿宋" w:eastAsia="仿宋"/>
          <w:sz w:val="24"/>
          <w:szCs w:val="24"/>
          <w:highlight w:val="none"/>
          <w:u w:val="none"/>
        </w:rPr>
      </w:pPr>
    </w:p>
    <w:p w14:paraId="63EAB4D0">
      <w:pPr>
        <w:pStyle w:val="113"/>
        <w:ind w:firstLine="480" w:firstLineChars="200"/>
        <w:rPr>
          <w:rFonts w:hint="eastAsia" w:ascii="仿宋" w:hAnsi="仿宋" w:eastAsia="仿宋"/>
          <w:sz w:val="24"/>
          <w:szCs w:val="24"/>
          <w:highlight w:val="none"/>
          <w:u w:val="none"/>
        </w:rPr>
      </w:pPr>
    </w:p>
    <w:p w14:paraId="0D4162FC">
      <w:pPr>
        <w:pStyle w:val="113"/>
        <w:ind w:firstLine="480" w:firstLineChars="200"/>
        <w:rPr>
          <w:rFonts w:ascii="仿宋" w:hAnsi="仿宋" w:eastAsia="仿宋"/>
          <w:sz w:val="24"/>
          <w:szCs w:val="24"/>
          <w:highlight w:val="none"/>
          <w:u w:val="none"/>
        </w:rPr>
      </w:pPr>
      <w:r>
        <w:rPr>
          <w:rFonts w:hint="eastAsia" w:ascii="仿宋" w:hAnsi="仿宋" w:eastAsia="仿宋"/>
          <w:sz w:val="24"/>
          <w:szCs w:val="24"/>
          <w:highlight w:val="none"/>
          <w:u w:val="none"/>
        </w:rPr>
        <w:t>授权代表人签字：                       授权代表人签字：</w:t>
      </w:r>
    </w:p>
    <w:p w14:paraId="70C6ECD5">
      <w:pPr>
        <w:pStyle w:val="113"/>
        <w:ind w:firstLine="480" w:firstLineChars="200"/>
        <w:rPr>
          <w:rFonts w:hint="eastAsia" w:ascii="仿宋" w:hAnsi="仿宋" w:eastAsia="仿宋"/>
          <w:sz w:val="24"/>
          <w:szCs w:val="24"/>
          <w:highlight w:val="none"/>
          <w:u w:val="none"/>
        </w:rPr>
      </w:pPr>
    </w:p>
    <w:p w14:paraId="689F745B">
      <w:pPr>
        <w:pStyle w:val="113"/>
        <w:ind w:firstLine="480" w:firstLineChars="200"/>
        <w:rPr>
          <w:rFonts w:hint="eastAsia" w:ascii="仿宋" w:hAnsi="仿宋" w:eastAsia="仿宋"/>
          <w:sz w:val="24"/>
          <w:szCs w:val="24"/>
          <w:highlight w:val="none"/>
          <w:u w:val="none"/>
          <w:lang w:val="en-US" w:eastAsia="zh-CN"/>
        </w:rPr>
      </w:pPr>
    </w:p>
    <w:p w14:paraId="09F14537">
      <w:pPr>
        <w:pStyle w:val="113"/>
        <w:ind w:firstLine="480" w:firstLineChars="200"/>
        <w:rPr>
          <w:rFonts w:hint="default" w:ascii="仿宋" w:hAnsi="仿宋" w:eastAsia="仿宋"/>
          <w:sz w:val="24"/>
          <w:szCs w:val="24"/>
          <w:highlight w:val="none"/>
          <w:u w:val="none"/>
          <w:lang w:val="en-US" w:eastAsia="zh-CN"/>
        </w:rPr>
      </w:pPr>
      <w:r>
        <w:rPr>
          <w:rFonts w:hint="eastAsia" w:ascii="仿宋" w:hAnsi="仿宋" w:eastAsia="仿宋"/>
          <w:sz w:val="24"/>
          <w:szCs w:val="24"/>
          <w:highlight w:val="none"/>
          <w:u w:val="none"/>
          <w:lang w:val="en-US" w:eastAsia="zh-CN"/>
        </w:rPr>
        <w:t>日 期：                                   日 期；</w:t>
      </w:r>
    </w:p>
    <w:p w14:paraId="5710AEB7">
      <w:pPr>
        <w:rPr>
          <w:rFonts w:hint="default" w:eastAsia="宋体"/>
          <w:lang w:val="en-US" w:eastAsia="zh-CN"/>
        </w:rPr>
      </w:pPr>
      <w:r>
        <w:rPr>
          <w:rFonts w:hint="eastAsia"/>
          <w:lang w:val="en-US" w:eastAsia="zh-CN"/>
        </w:rPr>
        <w:t xml:space="preserve">  </w:t>
      </w:r>
    </w:p>
    <w:p w14:paraId="4AA13EC1">
      <w:pPr>
        <w:pStyle w:val="15"/>
        <w:spacing w:line="440" w:lineRule="exact"/>
        <w:rPr>
          <w:rFonts w:hint="eastAsia" w:ascii="Times New Roman" w:hAnsi="Times New Roman"/>
          <w:color w:val="000000"/>
          <w:sz w:val="24"/>
          <w:szCs w:val="24"/>
        </w:rPr>
      </w:pPr>
    </w:p>
    <w:p w14:paraId="1EDBD3C0">
      <w:pPr>
        <w:rPr>
          <w:rFonts w:hint="default" w:eastAsia="宋体"/>
          <w:lang w:val="en-US" w:eastAsia="zh-CN"/>
        </w:rPr>
      </w:pPr>
      <w:r>
        <w:rPr>
          <w:rFonts w:hint="eastAsia"/>
          <w:lang w:val="en-US" w:eastAsia="zh-CN"/>
        </w:rPr>
        <w:t xml:space="preserve">  </w:t>
      </w:r>
    </w:p>
    <w:p w14:paraId="5C1181CB">
      <w:pPr>
        <w:pStyle w:val="111"/>
        <w:ind w:firstLine="0" w:firstLineChars="0"/>
        <w:rPr>
          <w:rFonts w:hint="eastAsia"/>
        </w:rPr>
      </w:pPr>
    </w:p>
    <w:p w14:paraId="3140280B">
      <w:pPr>
        <w:pStyle w:val="71"/>
        <w:jc w:val="both"/>
        <w:rPr>
          <w:rFonts w:hint="eastAsia"/>
        </w:rPr>
      </w:pPr>
      <w:bookmarkStart w:id="22" w:name="_Toc47976615"/>
      <w:bookmarkStart w:id="23" w:name="_Toc5925"/>
    </w:p>
    <w:p w14:paraId="34A5C74F">
      <w:pPr>
        <w:pStyle w:val="71"/>
        <w:rPr>
          <w:rFonts w:hint="eastAsia"/>
        </w:rPr>
      </w:pPr>
    </w:p>
    <w:p w14:paraId="1AC60DE1">
      <w:pPr>
        <w:pStyle w:val="71"/>
        <w:rPr>
          <w:rFonts w:hint="eastAsia"/>
        </w:rPr>
      </w:pPr>
    </w:p>
    <w:p w14:paraId="77405EFE">
      <w:pPr>
        <w:pStyle w:val="71"/>
        <w:jc w:val="both"/>
        <w:rPr>
          <w:rFonts w:hint="eastAsia"/>
        </w:rPr>
      </w:pPr>
    </w:p>
    <w:p w14:paraId="6817520A">
      <w:pPr>
        <w:pStyle w:val="71"/>
        <w:jc w:val="both"/>
        <w:rPr>
          <w:rFonts w:hint="eastAsia"/>
        </w:rPr>
      </w:pPr>
    </w:p>
    <w:p w14:paraId="0EB8BBEB">
      <w:pPr>
        <w:pStyle w:val="71"/>
        <w:rPr>
          <w:rFonts w:hint="default" w:eastAsia="黑体"/>
          <w:lang w:val="en-US" w:eastAsia="zh-CN"/>
        </w:rPr>
      </w:pPr>
      <w:r>
        <w:rPr>
          <w:rFonts w:hint="eastAsia"/>
        </w:rPr>
        <w:t>第四部分　</w:t>
      </w:r>
      <w:bookmarkEnd w:id="22"/>
      <w:r>
        <w:rPr>
          <w:rFonts w:hint="eastAsia"/>
          <w:lang w:val="en-US" w:eastAsia="zh-CN"/>
        </w:rPr>
        <w:t>投标文件附件</w:t>
      </w:r>
      <w:bookmarkEnd w:id="23"/>
    </w:p>
    <w:p w14:paraId="3D26BC99">
      <w:pPr>
        <w:keepNext/>
        <w:keepLines/>
        <w:jc w:val="center"/>
        <w:outlineLvl w:val="2"/>
        <w:rPr>
          <w:rFonts w:hint="eastAsia" w:ascii="宋体" w:hAnsi="宋体" w:eastAsia="宋体" w:cs="宋体"/>
          <w:b/>
          <w:bCs/>
          <w:color w:val="000000"/>
          <w:sz w:val="32"/>
          <w:szCs w:val="32"/>
        </w:rPr>
      </w:pPr>
      <w:r>
        <w:rPr>
          <w:rFonts w:hint="eastAsia" w:ascii="宋体" w:hAnsi="宋体" w:eastAsia="宋体" w:cs="宋体"/>
          <w:b/>
          <w:bCs/>
          <w:color w:val="000000"/>
          <w:sz w:val="32"/>
          <w:szCs w:val="32"/>
        </w:rPr>
        <w:t>投标函</w:t>
      </w:r>
    </w:p>
    <w:p w14:paraId="0B39DB81">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致：中国重汽集团</w:t>
      </w:r>
      <w:r>
        <w:rPr>
          <w:rFonts w:hint="eastAsia" w:ascii="宋体" w:hAnsi="宋体" w:cs="Times New Roman"/>
          <w:color w:val="000000"/>
          <w:sz w:val="24"/>
          <w:szCs w:val="24"/>
          <w:u w:val="single"/>
          <w:lang w:val="en-US" w:eastAsia="zh-CN"/>
        </w:rPr>
        <w:t xml:space="preserve">          </w:t>
      </w:r>
      <w:r>
        <w:rPr>
          <w:rFonts w:hint="eastAsia" w:ascii="宋体" w:hAnsi="宋体" w:eastAsia="宋体" w:cs="Times New Roman"/>
          <w:color w:val="000000"/>
          <w:sz w:val="24"/>
          <w:szCs w:val="24"/>
        </w:rPr>
        <w:t>有限公司：</w:t>
      </w:r>
    </w:p>
    <w:p w14:paraId="7F916B14">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根据贵方</w:t>
      </w:r>
      <w:r>
        <w:rPr>
          <w:rFonts w:hint="eastAsia" w:ascii="宋体" w:hAnsi="宋体" w:cs="Times New Roman"/>
          <w:color w:val="000000"/>
          <w:sz w:val="24"/>
          <w:szCs w:val="24"/>
          <w:u w:val="single"/>
          <w:lang w:val="en-US" w:eastAsia="zh-CN"/>
        </w:rPr>
        <w:t xml:space="preserve">                       </w:t>
      </w:r>
      <w:r>
        <w:rPr>
          <w:rFonts w:hint="eastAsia" w:ascii="宋体" w:hAnsi="宋体" w:eastAsia="宋体" w:cs="Times New Roman"/>
          <w:bCs/>
          <w:snapToGrid w:val="0"/>
          <w:color w:val="000000"/>
          <w:kern w:val="0"/>
          <w:sz w:val="24"/>
          <w:szCs w:val="24"/>
        </w:rPr>
        <w:t>招标公告</w:t>
      </w:r>
      <w:r>
        <w:rPr>
          <w:rFonts w:hint="eastAsia" w:ascii="宋体" w:hAnsi="宋体" w:eastAsia="宋体" w:cs="Times New Roman"/>
          <w:color w:val="000000"/>
          <w:sz w:val="24"/>
          <w:szCs w:val="24"/>
        </w:rPr>
        <w:t>，</w:t>
      </w:r>
      <w:r>
        <w:rPr>
          <w:rFonts w:ascii="宋体" w:hAnsi="宋体" w:eastAsia="宋体" w:cs="Times New Roman"/>
          <w:b/>
          <w:color w:val="000000"/>
          <w:sz w:val="24"/>
          <w:szCs w:val="24"/>
          <w:u w:val="single"/>
        </w:rPr>
        <w:t xml:space="preserve">            </w:t>
      </w:r>
      <w:r>
        <w:rPr>
          <w:rFonts w:hint="eastAsia" w:ascii="宋体" w:hAnsi="宋体" w:eastAsia="宋体" w:cs="Times New Roman"/>
          <w:color w:val="000000"/>
          <w:sz w:val="24"/>
          <w:szCs w:val="24"/>
        </w:rPr>
        <w:t>投标公司，</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法人代表人为</w:t>
      </w:r>
      <w:r>
        <w:rPr>
          <w:rFonts w:ascii="宋体" w:hAnsi="宋体" w:eastAsia="宋体" w:cs="Times New Roman"/>
          <w:color w:val="000000"/>
          <w:sz w:val="24"/>
          <w:szCs w:val="24"/>
          <w:u w:val="single"/>
        </w:rPr>
        <w:t xml:space="preserve">         </w:t>
      </w:r>
      <w:r>
        <w:rPr>
          <w:rFonts w:hint="eastAsia" w:ascii="宋体" w:hAnsi="宋体" w:eastAsia="宋体" w:cs="Times New Roman"/>
          <w:color w:val="000000"/>
          <w:sz w:val="24"/>
          <w:szCs w:val="24"/>
        </w:rPr>
        <w:t>，正式授权</w:t>
      </w:r>
      <w:r>
        <w:rPr>
          <w:rFonts w:ascii="宋体" w:hAnsi="宋体" w:eastAsia="宋体" w:cs="Times New Roman"/>
          <w:color w:val="000000"/>
          <w:sz w:val="24"/>
          <w:szCs w:val="24"/>
          <w:u w:val="single"/>
        </w:rPr>
        <w:t xml:space="preserve">           </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提交纸质投标文件：资质证明文件、商务文件和技术文件正本</w:t>
      </w:r>
      <w:r>
        <w:rPr>
          <w:rFonts w:hint="eastAsia" w:ascii="宋体" w:hAnsi="宋体" w:cs="Times New Roman"/>
          <w:color w:val="000000"/>
          <w:sz w:val="24"/>
          <w:szCs w:val="24"/>
          <w:u w:val="single"/>
          <w:lang w:val="en-US" w:eastAsia="zh-CN"/>
        </w:rPr>
        <w:t xml:space="preserve">  </w:t>
      </w:r>
      <w:r>
        <w:rPr>
          <w:rFonts w:hint="eastAsia" w:ascii="宋体" w:hAnsi="宋体" w:eastAsia="宋体" w:cs="Times New Roman"/>
          <w:color w:val="000000"/>
          <w:sz w:val="24"/>
          <w:szCs w:val="24"/>
        </w:rPr>
        <w:t>份、副本</w:t>
      </w:r>
      <w:r>
        <w:rPr>
          <w:rFonts w:hint="eastAsia" w:ascii="宋体" w:hAnsi="宋体" w:cs="Times New Roman"/>
          <w:color w:val="000000"/>
          <w:sz w:val="24"/>
          <w:szCs w:val="24"/>
          <w:u w:val="single"/>
          <w:lang w:val="en-US" w:eastAsia="zh-CN"/>
        </w:rPr>
        <w:t xml:space="preserve">  </w:t>
      </w:r>
      <w:r>
        <w:rPr>
          <w:rFonts w:hint="eastAsia" w:ascii="宋体" w:hAnsi="宋体" w:eastAsia="宋体" w:cs="Times New Roman"/>
          <w:color w:val="000000"/>
          <w:sz w:val="24"/>
          <w:szCs w:val="24"/>
        </w:rPr>
        <w:t>份；电子版投标文件一份。</w:t>
      </w:r>
    </w:p>
    <w:p w14:paraId="26D62944">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据此函，签字代表宣布同意如下：</w:t>
      </w:r>
    </w:p>
    <w:p w14:paraId="71FBB532">
      <w:pPr>
        <w:spacing w:line="360" w:lineRule="auto"/>
        <w:ind w:firstLine="480" w:firstLineChars="200"/>
        <w:rPr>
          <w:rFonts w:ascii="宋体" w:hAnsi="宋体" w:eastAsia="宋体" w:cs="Times New Roman"/>
          <w:color w:val="000000"/>
          <w:sz w:val="24"/>
          <w:szCs w:val="24"/>
        </w:rPr>
      </w:pPr>
      <w:r>
        <w:rPr>
          <w:rFonts w:ascii="宋体" w:hAnsi="宋体" w:eastAsia="宋体" w:cs="Times New Roman"/>
          <w:color w:val="000000"/>
          <w:sz w:val="24"/>
          <w:szCs w:val="24"/>
        </w:rPr>
        <w:t>1</w:t>
      </w:r>
      <w:r>
        <w:rPr>
          <w:rFonts w:hint="eastAsia" w:ascii="宋体" w:hAnsi="宋体" w:eastAsia="宋体" w:cs="Times New Roman"/>
          <w:color w:val="000000"/>
          <w:sz w:val="24"/>
          <w:szCs w:val="24"/>
        </w:rPr>
        <w:t>.投标人已详细审查全部“招标文件”，包括修改文件（如有的话）以及全部参考资料和有关附件，已经了解我方对于招标文件、采购过程、采购结果有依法进行询问、质疑、投诉的权利及相关渠道和要求。</w:t>
      </w:r>
    </w:p>
    <w:p w14:paraId="535DAEDA">
      <w:pPr>
        <w:spacing w:line="360" w:lineRule="auto"/>
        <w:ind w:firstLine="480" w:firstLineChars="200"/>
        <w:rPr>
          <w:rFonts w:ascii="宋体" w:hAnsi="宋体" w:eastAsia="宋体" w:cs="Times New Roman"/>
          <w:color w:val="000000"/>
          <w:sz w:val="24"/>
          <w:szCs w:val="24"/>
        </w:rPr>
      </w:pPr>
      <w:r>
        <w:rPr>
          <w:rFonts w:ascii="宋体" w:hAnsi="宋体" w:eastAsia="宋体" w:cs="Times New Roman"/>
          <w:color w:val="000000"/>
          <w:sz w:val="24"/>
          <w:szCs w:val="24"/>
        </w:rPr>
        <w:t>2</w:t>
      </w:r>
      <w:r>
        <w:rPr>
          <w:rFonts w:hint="eastAsia" w:ascii="宋体" w:hAnsi="宋体" w:eastAsia="宋体" w:cs="Times New Roman"/>
          <w:color w:val="000000"/>
          <w:sz w:val="24"/>
          <w:szCs w:val="24"/>
        </w:rPr>
        <w:t>.投标人在投标之前已经与贵方进行了充分的沟通，完全理解并接受招标文件的各项规定和要求，对招标文件的合理性、合法性不再有异议。</w:t>
      </w:r>
    </w:p>
    <w:p w14:paraId="7A6FA392">
      <w:pPr>
        <w:spacing w:line="360" w:lineRule="auto"/>
        <w:ind w:firstLine="480" w:firstLineChars="200"/>
        <w:rPr>
          <w:rFonts w:ascii="宋体" w:hAnsi="宋体" w:eastAsia="宋体" w:cs="Times New Roman"/>
          <w:color w:val="000000"/>
          <w:sz w:val="24"/>
          <w:szCs w:val="24"/>
        </w:rPr>
      </w:pPr>
      <w:r>
        <w:rPr>
          <w:rFonts w:ascii="宋体" w:hAnsi="宋体" w:eastAsia="宋体" w:cs="Times New Roman"/>
          <w:color w:val="000000"/>
          <w:sz w:val="24"/>
          <w:szCs w:val="24"/>
        </w:rPr>
        <w:t>3</w:t>
      </w:r>
      <w:r>
        <w:rPr>
          <w:rFonts w:hint="eastAsia" w:ascii="宋体" w:hAnsi="宋体" w:eastAsia="宋体" w:cs="Times New Roman"/>
          <w:color w:val="000000"/>
          <w:sz w:val="24"/>
          <w:szCs w:val="24"/>
        </w:rPr>
        <w:t>.本投标有效期自开标日起</w:t>
      </w:r>
      <w:r>
        <w:rPr>
          <w:rFonts w:ascii="宋体" w:hAnsi="宋体" w:eastAsia="宋体" w:cs="Times New Roman"/>
          <w:bCs/>
          <w:color w:val="000000"/>
          <w:sz w:val="24"/>
          <w:szCs w:val="24"/>
          <w:u w:val="single"/>
        </w:rPr>
        <w:t xml:space="preserve"> </w:t>
      </w:r>
      <w:r>
        <w:rPr>
          <w:rFonts w:hint="eastAsia" w:ascii="宋体" w:hAnsi="宋体" w:cs="Times New Roman"/>
          <w:bCs/>
          <w:color w:val="000000"/>
          <w:sz w:val="24"/>
          <w:szCs w:val="24"/>
          <w:u w:val="single"/>
          <w:lang w:val="en-US" w:eastAsia="zh-CN"/>
        </w:rPr>
        <w:t xml:space="preserve"> </w:t>
      </w:r>
      <w:r>
        <w:rPr>
          <w:rFonts w:hint="eastAsia" w:ascii="宋体" w:hAnsi="宋体" w:eastAsia="宋体" w:cs="Times New Roman"/>
          <w:color w:val="000000"/>
          <w:sz w:val="24"/>
          <w:szCs w:val="24"/>
        </w:rPr>
        <w:t>个日历日。</w:t>
      </w:r>
    </w:p>
    <w:p w14:paraId="459E3F15">
      <w:pPr>
        <w:spacing w:line="360" w:lineRule="auto"/>
        <w:ind w:firstLine="480" w:firstLineChars="200"/>
        <w:rPr>
          <w:rFonts w:ascii="宋体" w:hAnsi="宋体" w:eastAsia="宋体" w:cs="Times New Roman"/>
          <w:color w:val="000000"/>
          <w:sz w:val="24"/>
          <w:szCs w:val="24"/>
        </w:rPr>
      </w:pPr>
      <w:r>
        <w:rPr>
          <w:rFonts w:ascii="宋体" w:hAnsi="宋体" w:eastAsia="宋体" w:cs="Times New Roman"/>
          <w:color w:val="000000"/>
          <w:sz w:val="24"/>
          <w:szCs w:val="24"/>
        </w:rPr>
        <w:t>4</w:t>
      </w:r>
      <w:r>
        <w:rPr>
          <w:rFonts w:hint="eastAsia" w:ascii="宋体" w:hAnsi="宋体" w:eastAsia="宋体" w:cs="Times New Roman"/>
          <w:color w:val="000000"/>
          <w:sz w:val="24"/>
          <w:szCs w:val="24"/>
        </w:rPr>
        <w:t>.如中标，本投标文件至本项目合同履行完毕止均保持有效，本投标人将按“招标文件”及政府采购法律、法规的规定履行合同责任和义务。</w:t>
      </w:r>
    </w:p>
    <w:p w14:paraId="77545813">
      <w:pPr>
        <w:spacing w:line="360" w:lineRule="auto"/>
        <w:ind w:firstLine="480" w:firstLineChars="200"/>
        <w:rPr>
          <w:rFonts w:ascii="宋体" w:hAnsi="宋体" w:eastAsia="宋体" w:cs="Times New Roman"/>
          <w:color w:val="000000"/>
          <w:sz w:val="24"/>
          <w:szCs w:val="24"/>
        </w:rPr>
      </w:pPr>
      <w:r>
        <w:rPr>
          <w:rFonts w:ascii="宋体" w:hAnsi="宋体" w:eastAsia="宋体" w:cs="Times New Roman"/>
          <w:color w:val="000000"/>
          <w:sz w:val="24"/>
          <w:szCs w:val="24"/>
        </w:rPr>
        <w:t>5</w:t>
      </w:r>
      <w:r>
        <w:rPr>
          <w:rFonts w:hint="eastAsia" w:ascii="宋体" w:hAnsi="宋体" w:eastAsia="宋体" w:cs="Times New Roman"/>
          <w:color w:val="000000"/>
          <w:sz w:val="24"/>
          <w:szCs w:val="24"/>
        </w:rPr>
        <w:t>.投标人同意按照贵方要求提供与投标有关的一切数据或资料。</w:t>
      </w:r>
    </w:p>
    <w:p w14:paraId="4F02BADB">
      <w:pPr>
        <w:spacing w:line="360" w:lineRule="auto"/>
        <w:ind w:firstLine="480" w:firstLineChars="200"/>
        <w:rPr>
          <w:rFonts w:ascii="宋体" w:hAnsi="宋体" w:eastAsia="宋体" w:cs="Times New Roman"/>
          <w:color w:val="000000"/>
          <w:sz w:val="24"/>
          <w:szCs w:val="24"/>
        </w:rPr>
      </w:pPr>
      <w:r>
        <w:rPr>
          <w:rFonts w:ascii="宋体" w:hAnsi="宋体" w:eastAsia="宋体" w:cs="Times New Roman"/>
          <w:color w:val="000000"/>
          <w:sz w:val="24"/>
          <w:szCs w:val="24"/>
        </w:rPr>
        <w:t>6</w:t>
      </w:r>
      <w:r>
        <w:rPr>
          <w:rFonts w:hint="eastAsia" w:ascii="宋体" w:hAnsi="宋体" w:eastAsia="宋体" w:cs="Times New Roman"/>
          <w:color w:val="000000"/>
          <w:sz w:val="24"/>
          <w:szCs w:val="24"/>
        </w:rPr>
        <w:t>.与本投标有关的一切正式往来信函请寄：</w:t>
      </w:r>
    </w:p>
    <w:p w14:paraId="3404A7CE">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地址：</w:t>
      </w:r>
      <w:r>
        <w:rPr>
          <w:rFonts w:ascii="宋体" w:hAnsi="宋体" w:eastAsia="宋体" w:cs="Times New Roman"/>
          <w:color w:val="000000"/>
          <w:sz w:val="24"/>
          <w:szCs w:val="24"/>
        </w:rPr>
        <w:t xml:space="preserve">                             </w:t>
      </w:r>
    </w:p>
    <w:p w14:paraId="24E63A16">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邮编：</w:t>
      </w:r>
      <w:r>
        <w:rPr>
          <w:rFonts w:ascii="宋体" w:hAnsi="宋体" w:eastAsia="宋体" w:cs="Times New Roman"/>
          <w:color w:val="000000"/>
          <w:sz w:val="24"/>
          <w:szCs w:val="24"/>
        </w:rPr>
        <w:t xml:space="preserve">        </w:t>
      </w:r>
    </w:p>
    <w:p w14:paraId="40F28EC1">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电话：</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传真：</w:t>
      </w:r>
      <w:r>
        <w:rPr>
          <w:rFonts w:ascii="宋体" w:hAnsi="宋体" w:eastAsia="宋体" w:cs="Times New Roman"/>
          <w:color w:val="000000"/>
          <w:sz w:val="24"/>
          <w:szCs w:val="24"/>
        </w:rPr>
        <w:t xml:space="preserve">                   </w:t>
      </w:r>
    </w:p>
    <w:p w14:paraId="1D482AFB">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投标人代表姓名：</w:t>
      </w:r>
      <w:r>
        <w:rPr>
          <w:rFonts w:hint="eastAsia" w:ascii="宋体" w:hAnsi="宋体" w:eastAsia="宋体" w:cs="Times New Roman"/>
          <w:color w:val="000000"/>
          <w:sz w:val="24"/>
          <w:szCs w:val="24"/>
          <w:u w:val="single"/>
        </w:rPr>
        <w:t xml:space="preserve">         </w:t>
      </w:r>
      <w:r>
        <w:rPr>
          <w:rFonts w:hint="eastAsia" w:ascii="宋体" w:hAnsi="宋体" w:eastAsia="宋体" w:cs="Times New Roman"/>
          <w:color w:val="000000"/>
          <w:sz w:val="24"/>
          <w:szCs w:val="24"/>
        </w:rPr>
        <w:t>职务：</w:t>
      </w:r>
      <w:r>
        <w:rPr>
          <w:rFonts w:ascii="宋体" w:hAnsi="宋体" w:eastAsia="宋体" w:cs="Times New Roman"/>
          <w:color w:val="000000"/>
          <w:sz w:val="24"/>
          <w:szCs w:val="24"/>
        </w:rPr>
        <w:t xml:space="preserve">          </w:t>
      </w:r>
    </w:p>
    <w:p w14:paraId="43152E46">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开户银行：</w:t>
      </w:r>
      <w:r>
        <w:rPr>
          <w:rFonts w:ascii="宋体" w:hAnsi="宋体" w:eastAsia="宋体" w:cs="Times New Roman"/>
          <w:color w:val="000000"/>
          <w:sz w:val="24"/>
          <w:szCs w:val="24"/>
        </w:rPr>
        <w:t xml:space="preserve">                   </w:t>
      </w:r>
    </w:p>
    <w:p w14:paraId="2F8C4A40">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银行帐号：</w:t>
      </w:r>
      <w:r>
        <w:rPr>
          <w:rFonts w:ascii="宋体" w:hAnsi="宋体" w:eastAsia="宋体" w:cs="Times New Roman"/>
          <w:color w:val="000000"/>
          <w:sz w:val="24"/>
          <w:szCs w:val="24"/>
        </w:rPr>
        <w:t xml:space="preserve">                   </w:t>
      </w:r>
    </w:p>
    <w:p w14:paraId="04462310">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投标人名称（</w:t>
      </w:r>
      <w:r>
        <w:rPr>
          <w:rFonts w:hint="eastAsia" w:ascii="宋体" w:hAnsi="宋体" w:eastAsia="宋体" w:cs="Times New Roman"/>
          <w:bCs/>
          <w:color w:val="000000"/>
          <w:sz w:val="24"/>
          <w:szCs w:val="24"/>
        </w:rPr>
        <w:t>盖章）</w:t>
      </w:r>
      <w:r>
        <w:rPr>
          <w:rFonts w:ascii="宋体" w:hAnsi="宋体" w:eastAsia="宋体" w:cs="Times New Roman"/>
          <w:color w:val="000000"/>
          <w:sz w:val="24"/>
          <w:szCs w:val="24"/>
        </w:rPr>
        <w:t xml:space="preserve">: </w:t>
      </w:r>
    </w:p>
    <w:p w14:paraId="7045671E">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授权代表签字</w:t>
      </w:r>
      <w:r>
        <w:rPr>
          <w:rFonts w:hint="eastAsia" w:ascii="宋体" w:hAnsi="宋体" w:eastAsia="宋体" w:cs="Times New Roman"/>
          <w:bCs/>
          <w:color w:val="000000"/>
          <w:sz w:val="24"/>
          <w:szCs w:val="24"/>
        </w:rPr>
        <w:t>：</w:t>
      </w:r>
    </w:p>
    <w:p w14:paraId="284F62AD">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日期：</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年</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月</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日</w:t>
      </w:r>
    </w:p>
    <w:p w14:paraId="50D9D845">
      <w:pPr>
        <w:rPr>
          <w:rFonts w:ascii="黑体" w:hAnsi="Calibri" w:eastAsia="黑体" w:cs="Times New Roman"/>
          <w:color w:val="000000"/>
          <w:sz w:val="24"/>
          <w:szCs w:val="24"/>
        </w:rPr>
      </w:pPr>
    </w:p>
    <w:p w14:paraId="32681108">
      <w:pPr>
        <w:jc w:val="both"/>
        <w:rPr>
          <w:rFonts w:ascii="宋体"/>
          <w:b/>
          <w:color w:val="000000"/>
          <w:szCs w:val="24"/>
        </w:rPr>
      </w:pPr>
    </w:p>
    <w:p w14:paraId="5AD2320E">
      <w:pPr>
        <w:spacing w:line="360" w:lineRule="auto"/>
        <w:jc w:val="center"/>
        <w:rPr>
          <w:rFonts w:hint="eastAsia" w:ascii="宋体" w:hAnsi="宋体" w:eastAsia="宋体" w:cs="宋体"/>
          <w:b/>
          <w:bCs/>
          <w:color w:val="000000"/>
          <w:sz w:val="32"/>
          <w:szCs w:val="32"/>
        </w:rPr>
      </w:pPr>
      <w:bookmarkStart w:id="24" w:name="_Toc29366865"/>
      <w:bookmarkStart w:id="25" w:name="_Toc29366869"/>
    </w:p>
    <w:p w14:paraId="0179E87D">
      <w:pPr>
        <w:spacing w:line="360" w:lineRule="auto"/>
        <w:jc w:val="center"/>
        <w:rPr>
          <w:rFonts w:hint="eastAsia" w:ascii="宋体" w:hAnsi="宋体" w:eastAsia="宋体" w:cs="宋体"/>
          <w:color w:val="000000"/>
          <w:sz w:val="32"/>
          <w:szCs w:val="32"/>
        </w:rPr>
      </w:pPr>
      <w:r>
        <w:rPr>
          <w:rFonts w:hint="eastAsia" w:ascii="宋体" w:hAnsi="宋体" w:eastAsia="宋体" w:cs="宋体"/>
          <w:b/>
          <w:bCs/>
          <w:color w:val="000000"/>
          <w:sz w:val="32"/>
          <w:szCs w:val="32"/>
        </w:rPr>
        <w:t>法定代表人授权委托书</w:t>
      </w:r>
    </w:p>
    <w:p w14:paraId="19A97CD6">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本授权委托书声明：我＿＿＿＿＿＿＿（姓名）系＿＿＿＿＿＿＿＿＿＿＿＿＿＿＿＿＿＿＿＿＿＿＿＿（投标人全称）的法定代表人，就</w:t>
      </w:r>
      <w:r>
        <w:rPr>
          <w:rFonts w:ascii="宋体" w:hAnsi="宋体" w:eastAsia="宋体" w:cs="Times New Roman"/>
          <w:b/>
          <w:bCs/>
          <w:color w:val="000000"/>
          <w:sz w:val="24"/>
          <w:szCs w:val="24"/>
          <w:u w:val="single"/>
        </w:rPr>
        <w:t xml:space="preserve"> </w:t>
      </w:r>
      <w:r>
        <w:rPr>
          <w:rFonts w:hint="eastAsia" w:ascii="宋体" w:hAnsi="宋体" w:cs="Times New Roman"/>
          <w:b/>
          <w:bCs/>
          <w:color w:val="000000"/>
          <w:sz w:val="24"/>
          <w:szCs w:val="24"/>
          <w:u w:val="single"/>
          <w:lang w:val="en-US" w:eastAsia="zh-CN"/>
        </w:rPr>
        <w:t xml:space="preserve">                      </w:t>
      </w:r>
      <w:r>
        <w:rPr>
          <w:rFonts w:hint="eastAsia" w:ascii="宋体" w:hAnsi="宋体" w:eastAsia="宋体" w:cs="Times New Roman"/>
          <w:color w:val="000000"/>
          <w:sz w:val="24"/>
          <w:szCs w:val="24"/>
        </w:rPr>
        <w:t>现授权委托＿＿＿＿＿＿＿＿＿＿＿＿＿＿＿＿＿＿＿＿＿＿＿＿＿＿＿＿（单位名称）的＿＿＿＿＿＿＿＿（姓名、职务）为我公司全权代表，全权代表在投标文件、评标过程中的书面承诺、合同等所签署的一切文件和处理与之有关的一切事务，我均予以承认。</w:t>
      </w:r>
    </w:p>
    <w:p w14:paraId="74BF2FA9">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全权代表无转委权。特此委托。</w:t>
      </w:r>
    </w:p>
    <w:tbl>
      <w:tblPr>
        <w:tblStyle w:val="31"/>
        <w:tblW w:w="8590" w:type="dxa"/>
        <w:jc w:val="center"/>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
      <w:tblGrid>
        <w:gridCol w:w="8590"/>
      </w:tblGrid>
      <w:tr w14:paraId="57313CDB">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3407" w:hRule="atLeast"/>
          <w:jc w:val="center"/>
        </w:trPr>
        <w:tc>
          <w:tcPr>
            <w:tcW w:w="8590" w:type="dxa"/>
            <w:tcBorders>
              <w:top w:val="single" w:color="auto" w:sz="4" w:space="0"/>
              <w:bottom w:val="single" w:color="auto" w:sz="4" w:space="0"/>
            </w:tcBorders>
            <w:vAlign w:val="center"/>
          </w:tcPr>
          <w:p w14:paraId="6DC2AEF8">
            <w:pPr>
              <w:adjustRightInd w:val="0"/>
              <w:snapToGrid w:val="0"/>
              <w:spacing w:before="93" w:beforeLines="30" w:line="312" w:lineRule="auto"/>
              <w:jc w:val="center"/>
              <w:rPr>
                <w:rFonts w:ascii="宋体" w:hAnsi="Calibri" w:eastAsia="宋体" w:cs="Times New Roman"/>
                <w:sz w:val="24"/>
                <w:szCs w:val="20"/>
                <w:u w:val="none"/>
              </w:rPr>
            </w:pPr>
            <w:r>
              <w:rPr>
                <w:rFonts w:hint="eastAsia" w:ascii="宋体" w:hAnsi="宋体" w:eastAsia="宋体" w:cs="Times New Roman"/>
                <w:sz w:val="24"/>
                <w:szCs w:val="20"/>
              </w:rPr>
              <w:t>附法人身份证明复印件</w:t>
            </w:r>
            <w:r>
              <w:rPr>
                <w:rFonts w:hint="eastAsia" w:ascii="宋体" w:hAnsi="宋体" w:eastAsia="宋体" w:cs="Times New Roman"/>
                <w:sz w:val="24"/>
                <w:szCs w:val="20"/>
                <w:u w:val="none"/>
                <w:lang w:eastAsia="zh-CN"/>
              </w:rPr>
              <w:t>（</w:t>
            </w:r>
            <w:r>
              <w:rPr>
                <w:rFonts w:hint="eastAsia" w:ascii="宋体" w:hAnsi="宋体" w:eastAsia="宋体" w:cs="Times New Roman"/>
                <w:color w:val="000000" w:themeColor="text1"/>
                <w:sz w:val="24"/>
                <w:szCs w:val="20"/>
                <w:u w:val="none"/>
                <w:lang w:val="en-US" w:eastAsia="zh-CN"/>
                <w14:textFill>
                  <w14:solidFill>
                    <w14:schemeClr w14:val="tx1"/>
                  </w14:solidFill>
                </w14:textFill>
              </w:rPr>
              <w:t>正反面）</w:t>
            </w:r>
          </w:p>
          <w:p w14:paraId="0A0449F6">
            <w:pPr>
              <w:adjustRightInd w:val="0"/>
              <w:snapToGrid w:val="0"/>
              <w:spacing w:before="93" w:beforeLines="30" w:line="312" w:lineRule="auto"/>
              <w:jc w:val="center"/>
              <w:rPr>
                <w:rFonts w:ascii="宋体" w:hAnsi="Calibri" w:eastAsia="宋体" w:cs="Times New Roman"/>
                <w:sz w:val="24"/>
                <w:szCs w:val="20"/>
              </w:rPr>
            </w:pPr>
            <w:r>
              <w:rPr>
                <w:rFonts w:hint="eastAsia" w:ascii="宋体" w:hAnsi="宋体" w:eastAsia="宋体" w:cs="Times New Roman"/>
                <w:sz w:val="24"/>
                <w:szCs w:val="20"/>
              </w:rPr>
              <w:t>附授权代理人身份证明复印件</w:t>
            </w:r>
            <w:r>
              <w:rPr>
                <w:rFonts w:hint="eastAsia" w:ascii="宋体" w:hAnsi="宋体" w:eastAsia="宋体" w:cs="Times New Roman"/>
                <w:sz w:val="24"/>
                <w:szCs w:val="20"/>
                <w:lang w:eastAsia="zh-CN"/>
              </w:rPr>
              <w:t>（</w:t>
            </w:r>
            <w:r>
              <w:rPr>
                <w:rFonts w:hint="eastAsia" w:ascii="宋体" w:hAnsi="宋体" w:eastAsia="宋体" w:cs="Times New Roman"/>
                <w:sz w:val="24"/>
                <w:szCs w:val="20"/>
                <w:lang w:val="en-US" w:eastAsia="zh-CN"/>
              </w:rPr>
              <w:t>正反面</w:t>
            </w:r>
            <w:r>
              <w:rPr>
                <w:rFonts w:hint="eastAsia" w:ascii="宋体" w:hAnsi="宋体" w:eastAsia="宋体" w:cs="Times New Roman"/>
                <w:sz w:val="24"/>
                <w:szCs w:val="20"/>
                <w:lang w:eastAsia="zh-CN"/>
              </w:rPr>
              <w:t>）</w:t>
            </w:r>
          </w:p>
        </w:tc>
      </w:tr>
    </w:tbl>
    <w:p w14:paraId="37BFA8A8">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全权代表姓名：</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性别：</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年龄：</w:t>
      </w:r>
    </w:p>
    <w:p w14:paraId="3B6DD363">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单位：</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部门：</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职务：</w:t>
      </w:r>
    </w:p>
    <w:p w14:paraId="0F64A2A6">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法定代表人签字或盖章</w:t>
      </w:r>
      <w:r>
        <w:rPr>
          <w:rFonts w:ascii="宋体" w:hAnsi="宋体" w:eastAsia="宋体" w:cs="Times New Roman"/>
          <w:color w:val="000000"/>
          <w:sz w:val="24"/>
          <w:szCs w:val="24"/>
        </w:rPr>
        <w:t xml:space="preserve">                          </w:t>
      </w:r>
    </w:p>
    <w:p w14:paraId="100F211A">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被授权人签字</w:t>
      </w:r>
      <w:r>
        <w:rPr>
          <w:rFonts w:ascii="宋体" w:hAnsi="宋体" w:eastAsia="宋体" w:cs="Times New Roman"/>
          <w:color w:val="000000"/>
          <w:sz w:val="24"/>
          <w:szCs w:val="24"/>
        </w:rPr>
        <w:t xml:space="preserve">  </w:t>
      </w:r>
    </w:p>
    <w:p w14:paraId="7B47F762">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被授权人电话：</w:t>
      </w:r>
      <w:r>
        <w:rPr>
          <w:rFonts w:ascii="宋体" w:hAnsi="宋体" w:eastAsia="宋体" w:cs="Times New Roman"/>
          <w:color w:val="000000"/>
          <w:sz w:val="24"/>
          <w:szCs w:val="24"/>
        </w:rPr>
        <w:t xml:space="preserve">   </w:t>
      </w:r>
    </w:p>
    <w:p w14:paraId="6B9DBB7C">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投标人名称（公章）</w:t>
      </w:r>
      <w:r>
        <w:rPr>
          <w:rFonts w:ascii="宋体" w:hAnsi="宋体" w:eastAsia="宋体" w:cs="Times New Roman"/>
          <w:color w:val="000000"/>
          <w:sz w:val="24"/>
          <w:szCs w:val="24"/>
        </w:rPr>
        <w:t xml:space="preserve">                       </w:t>
      </w:r>
    </w:p>
    <w:p w14:paraId="152336F1">
      <w:pPr>
        <w:spacing w:line="460" w:lineRule="exact"/>
        <w:ind w:firstLine="5520" w:firstLineChars="2300"/>
        <w:rPr>
          <w:rFonts w:ascii="宋体" w:hAnsi="Calibri" w:eastAsia="宋体" w:cs="Times New Roman"/>
          <w:sz w:val="24"/>
          <w:szCs w:val="20"/>
          <w:u w:val="single"/>
        </w:rPr>
      </w:pPr>
      <w:r>
        <w:rPr>
          <w:rFonts w:ascii="宋体" w:hAnsi="宋体" w:eastAsia="宋体" w:cs="Times New Roman"/>
          <w:sz w:val="24"/>
          <w:szCs w:val="20"/>
          <w:u w:val="single"/>
        </w:rPr>
        <w:t xml:space="preserve">      </w:t>
      </w:r>
      <w:r>
        <w:rPr>
          <w:rFonts w:hint="eastAsia" w:ascii="宋体" w:hAnsi="宋体" w:eastAsia="宋体" w:cs="Times New Roman"/>
          <w:sz w:val="24"/>
          <w:szCs w:val="20"/>
        </w:rPr>
        <w:t>年</w:t>
      </w:r>
      <w:r>
        <w:rPr>
          <w:rFonts w:ascii="宋体" w:hAnsi="宋体" w:eastAsia="宋体" w:cs="Times New Roman"/>
          <w:sz w:val="24"/>
          <w:szCs w:val="20"/>
          <w:u w:val="single"/>
        </w:rPr>
        <w:t xml:space="preserve">   </w:t>
      </w:r>
      <w:r>
        <w:rPr>
          <w:rFonts w:hint="eastAsia" w:ascii="宋体" w:hAnsi="宋体" w:eastAsia="宋体" w:cs="Times New Roman"/>
          <w:sz w:val="24"/>
          <w:szCs w:val="20"/>
        </w:rPr>
        <w:t>月</w:t>
      </w:r>
      <w:r>
        <w:rPr>
          <w:rFonts w:ascii="宋体" w:hAnsi="宋体" w:eastAsia="宋体" w:cs="Times New Roman"/>
          <w:sz w:val="24"/>
          <w:szCs w:val="20"/>
          <w:u w:val="single"/>
        </w:rPr>
        <w:t xml:space="preserve">   </w:t>
      </w:r>
      <w:r>
        <w:rPr>
          <w:rFonts w:hint="eastAsia" w:ascii="宋体" w:hAnsi="宋体" w:eastAsia="宋体" w:cs="Times New Roman"/>
          <w:sz w:val="24"/>
          <w:szCs w:val="20"/>
        </w:rPr>
        <w:t>日</w:t>
      </w:r>
    </w:p>
    <w:p w14:paraId="2B3FEAEC">
      <w:pPr>
        <w:spacing w:line="360" w:lineRule="auto"/>
        <w:ind w:firstLine="4800" w:firstLineChars="2000"/>
        <w:rPr>
          <w:rFonts w:ascii="宋体" w:hAnsi="宋体" w:cs="宋体"/>
          <w:sz w:val="24"/>
          <w:szCs w:val="21"/>
        </w:rPr>
      </w:pPr>
    </w:p>
    <w:p w14:paraId="42BBE3A2">
      <w:pPr>
        <w:spacing w:line="360" w:lineRule="auto"/>
        <w:ind w:firstLine="4800" w:firstLineChars="2000"/>
        <w:rPr>
          <w:rFonts w:ascii="宋体" w:hAnsi="宋体" w:cs="宋体"/>
          <w:sz w:val="24"/>
          <w:szCs w:val="21"/>
        </w:rPr>
      </w:pPr>
    </w:p>
    <w:p w14:paraId="3D18A567">
      <w:pPr>
        <w:spacing w:line="360" w:lineRule="auto"/>
        <w:ind w:firstLine="4800" w:firstLineChars="2000"/>
        <w:rPr>
          <w:rFonts w:ascii="宋体" w:hAnsi="宋体" w:cs="宋体"/>
          <w:sz w:val="24"/>
          <w:szCs w:val="21"/>
        </w:rPr>
      </w:pPr>
    </w:p>
    <w:p w14:paraId="758E3B4E">
      <w:pPr>
        <w:spacing w:line="360" w:lineRule="auto"/>
        <w:ind w:firstLine="4800" w:firstLineChars="2000"/>
        <w:rPr>
          <w:rFonts w:ascii="宋体" w:hAnsi="宋体" w:cs="宋体"/>
          <w:sz w:val="24"/>
          <w:szCs w:val="21"/>
        </w:rPr>
      </w:pPr>
    </w:p>
    <w:p w14:paraId="69663AF6">
      <w:pPr>
        <w:pStyle w:val="15"/>
      </w:pPr>
    </w:p>
    <w:p w14:paraId="3A5DEF51">
      <w:pPr>
        <w:spacing w:line="360" w:lineRule="auto"/>
        <w:rPr>
          <w:rFonts w:ascii="宋体" w:hAnsi="宋体" w:cs="宋体"/>
          <w:sz w:val="24"/>
          <w:szCs w:val="21"/>
        </w:rPr>
      </w:pPr>
    </w:p>
    <w:bookmarkEnd w:id="24"/>
    <w:bookmarkEnd w:id="25"/>
    <w:p w14:paraId="3022D90B">
      <w:pPr>
        <w:pStyle w:val="72"/>
        <w:numPr>
          <w:ilvl w:val="0"/>
          <w:numId w:val="0"/>
        </w:numPr>
        <w:ind w:leftChars="0"/>
        <w:jc w:val="center"/>
        <w:rPr>
          <w:rFonts w:hint="eastAsia"/>
          <w:lang w:val="en-US" w:eastAsia="zh-CN"/>
        </w:rPr>
      </w:pPr>
    </w:p>
    <w:p w14:paraId="3599FAF1">
      <w:pPr>
        <w:pStyle w:val="72"/>
        <w:numPr>
          <w:ilvl w:val="0"/>
          <w:numId w:val="0"/>
        </w:numPr>
        <w:ind w:leftChars="0"/>
        <w:jc w:val="center"/>
        <w:rPr>
          <w:rFonts w:hint="eastAsia"/>
          <w:lang w:val="en-US" w:eastAsia="zh-CN"/>
        </w:rPr>
      </w:pPr>
    </w:p>
    <w:p w14:paraId="769BF465">
      <w:pPr>
        <w:pStyle w:val="72"/>
        <w:numPr>
          <w:ilvl w:val="0"/>
          <w:numId w:val="0"/>
        </w:numPr>
        <w:ind w:leftChars="0"/>
        <w:jc w:val="center"/>
        <w:rPr>
          <w:rFonts w:hint="eastAsia"/>
          <w:lang w:val="en-US" w:eastAsia="zh-CN"/>
        </w:rPr>
      </w:pPr>
      <w:r>
        <w:rPr>
          <w:rFonts w:hint="eastAsia"/>
          <w:lang w:val="en-US" w:eastAsia="zh-CN"/>
        </w:rPr>
        <w:t>开标一览表</w:t>
      </w:r>
    </w:p>
    <w:p w14:paraId="71C63D32">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项目名称：</w:t>
      </w:r>
      <w:r>
        <w:rPr>
          <w:rFonts w:ascii="宋体" w:hAnsi="宋体" w:eastAsia="宋体" w:cs="Times New Roman"/>
          <w:color w:val="000000"/>
          <w:sz w:val="24"/>
          <w:szCs w:val="24"/>
        </w:rPr>
        <w:t xml:space="preserve">                                                    </w:t>
      </w:r>
    </w:p>
    <w:tbl>
      <w:tblPr>
        <w:tblStyle w:val="31"/>
        <w:tblW w:w="725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77"/>
        <w:gridCol w:w="1518"/>
        <w:gridCol w:w="848"/>
        <w:gridCol w:w="2270"/>
        <w:gridCol w:w="1243"/>
        <w:gridCol w:w="699"/>
      </w:tblGrid>
      <w:tr w14:paraId="07BA82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065" w:hRule="atLeast"/>
          <w:jc w:val="center"/>
        </w:trPr>
        <w:tc>
          <w:tcPr>
            <w:tcW w:w="677" w:type="dxa"/>
            <w:vAlign w:val="center"/>
          </w:tcPr>
          <w:p w14:paraId="1B2BAAFF">
            <w:pPr>
              <w:jc w:val="center"/>
              <w:rPr>
                <w:rFonts w:ascii="Times New Roman" w:hAnsi="Times New Roman" w:eastAsia="宋体" w:cs="Times New Roman"/>
                <w:b/>
                <w:szCs w:val="20"/>
              </w:rPr>
            </w:pPr>
            <w:r>
              <w:rPr>
                <w:rFonts w:hint="eastAsia" w:ascii="Times New Roman" w:hAnsi="Times New Roman" w:eastAsia="宋体" w:cs="Times New Roman"/>
                <w:b/>
                <w:szCs w:val="20"/>
              </w:rPr>
              <w:t>序号</w:t>
            </w:r>
          </w:p>
        </w:tc>
        <w:tc>
          <w:tcPr>
            <w:tcW w:w="1518" w:type="dxa"/>
            <w:vAlign w:val="center"/>
          </w:tcPr>
          <w:p w14:paraId="0CB9085E">
            <w:pPr>
              <w:jc w:val="center"/>
              <w:rPr>
                <w:rFonts w:ascii="Times New Roman" w:hAnsi="Times New Roman" w:eastAsia="宋体" w:cs="Times New Roman"/>
                <w:b/>
                <w:szCs w:val="20"/>
              </w:rPr>
            </w:pPr>
            <w:r>
              <w:rPr>
                <w:rFonts w:hint="eastAsia" w:ascii="Times New Roman" w:hAnsi="Times New Roman" w:eastAsia="宋体" w:cs="Times New Roman"/>
                <w:b/>
                <w:szCs w:val="20"/>
              </w:rPr>
              <w:t>货物名称</w:t>
            </w:r>
          </w:p>
        </w:tc>
        <w:tc>
          <w:tcPr>
            <w:tcW w:w="848" w:type="dxa"/>
            <w:vAlign w:val="center"/>
          </w:tcPr>
          <w:p w14:paraId="7FD1C6AE">
            <w:pPr>
              <w:jc w:val="center"/>
              <w:rPr>
                <w:rFonts w:ascii="Times New Roman" w:hAnsi="Times New Roman" w:eastAsia="宋体" w:cs="Times New Roman"/>
                <w:b/>
                <w:szCs w:val="20"/>
              </w:rPr>
            </w:pPr>
            <w:r>
              <w:rPr>
                <w:rFonts w:hint="eastAsia" w:ascii="Times New Roman" w:hAnsi="Times New Roman" w:eastAsia="宋体" w:cs="Times New Roman"/>
                <w:b/>
                <w:szCs w:val="20"/>
              </w:rPr>
              <w:t>数量</w:t>
            </w:r>
          </w:p>
        </w:tc>
        <w:tc>
          <w:tcPr>
            <w:tcW w:w="2270" w:type="dxa"/>
            <w:vAlign w:val="center"/>
          </w:tcPr>
          <w:p w14:paraId="7E8CB28F">
            <w:pPr>
              <w:jc w:val="center"/>
              <w:rPr>
                <w:rFonts w:ascii="Times New Roman" w:hAnsi="Times New Roman" w:eastAsia="宋体" w:cs="Times New Roman"/>
                <w:b/>
                <w:szCs w:val="20"/>
              </w:rPr>
            </w:pPr>
            <w:r>
              <w:rPr>
                <w:rFonts w:hint="eastAsia" w:ascii="Times New Roman" w:hAnsi="Times New Roman" w:eastAsia="宋体" w:cs="Times New Roman"/>
                <w:b/>
                <w:szCs w:val="20"/>
              </w:rPr>
              <w:t>投标总价</w:t>
            </w:r>
            <w:r>
              <w:rPr>
                <w:rFonts w:hint="eastAsia" w:ascii="等线" w:hAnsi="等线" w:eastAsia="等线" w:cs="Times New Roman"/>
                <w:b/>
                <w:szCs w:val="20"/>
              </w:rPr>
              <w:t>（元）</w:t>
            </w:r>
          </w:p>
        </w:tc>
        <w:tc>
          <w:tcPr>
            <w:tcW w:w="1243" w:type="dxa"/>
            <w:vAlign w:val="center"/>
          </w:tcPr>
          <w:p w14:paraId="5BE19F44">
            <w:pPr>
              <w:jc w:val="center"/>
              <w:rPr>
                <w:rFonts w:hint="default" w:ascii="Times New Roman" w:hAnsi="Times New Roman" w:eastAsia="宋体" w:cs="Times New Roman"/>
                <w:b/>
                <w:szCs w:val="20"/>
                <w:lang w:val="en-US" w:eastAsia="zh-CN"/>
              </w:rPr>
            </w:pPr>
            <w:r>
              <w:rPr>
                <w:rFonts w:hint="eastAsia" w:cs="Times New Roman"/>
                <w:b/>
                <w:szCs w:val="20"/>
                <w:lang w:val="en-US" w:eastAsia="zh-CN"/>
              </w:rPr>
              <w:t>付款方式是否响应</w:t>
            </w:r>
          </w:p>
        </w:tc>
        <w:tc>
          <w:tcPr>
            <w:tcW w:w="699" w:type="dxa"/>
            <w:vAlign w:val="center"/>
          </w:tcPr>
          <w:p w14:paraId="0DA60CF4">
            <w:pPr>
              <w:jc w:val="center"/>
              <w:rPr>
                <w:rFonts w:hint="default" w:ascii="等线" w:hAnsi="等线" w:eastAsia="等线" w:cs="Times New Roman"/>
                <w:b/>
                <w:szCs w:val="20"/>
                <w:lang w:val="en-US"/>
              </w:rPr>
            </w:pPr>
            <w:r>
              <w:rPr>
                <w:rFonts w:hint="eastAsia" w:cs="Times New Roman"/>
                <w:b/>
                <w:szCs w:val="20"/>
                <w:lang w:val="en-US" w:eastAsia="zh-CN"/>
              </w:rPr>
              <w:t>商务条款是否偏离</w:t>
            </w:r>
          </w:p>
        </w:tc>
      </w:tr>
      <w:tr w14:paraId="035C9B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534" w:hRule="atLeast"/>
          <w:jc w:val="center"/>
        </w:trPr>
        <w:tc>
          <w:tcPr>
            <w:tcW w:w="677" w:type="dxa"/>
            <w:vAlign w:val="center"/>
          </w:tcPr>
          <w:p w14:paraId="6D0E9BE6">
            <w:pPr>
              <w:jc w:val="center"/>
              <w:rPr>
                <w:rFonts w:hint="eastAsia" w:ascii="Times New Roman" w:hAnsi="Times New Roman" w:eastAsia="宋体" w:cs="Times New Roman"/>
                <w:b/>
                <w:szCs w:val="20"/>
                <w:lang w:val="en-US" w:eastAsia="zh-CN"/>
              </w:rPr>
            </w:pPr>
            <w:r>
              <w:rPr>
                <w:rFonts w:hint="eastAsia" w:cs="Times New Roman"/>
                <w:b/>
                <w:szCs w:val="20"/>
                <w:lang w:val="en-US" w:eastAsia="zh-CN"/>
              </w:rPr>
              <w:t>1</w:t>
            </w:r>
          </w:p>
        </w:tc>
        <w:tc>
          <w:tcPr>
            <w:tcW w:w="1518" w:type="dxa"/>
            <w:vAlign w:val="center"/>
          </w:tcPr>
          <w:p w14:paraId="01DDB5C4">
            <w:pPr>
              <w:jc w:val="center"/>
              <w:rPr>
                <w:rFonts w:hint="eastAsia" w:ascii="Times New Roman" w:hAnsi="Times New Roman" w:eastAsia="宋体" w:cs="Times New Roman"/>
                <w:b/>
                <w:szCs w:val="20"/>
                <w:lang w:eastAsia="zh-CN"/>
              </w:rPr>
            </w:pPr>
          </w:p>
        </w:tc>
        <w:tc>
          <w:tcPr>
            <w:tcW w:w="848" w:type="dxa"/>
            <w:vAlign w:val="center"/>
          </w:tcPr>
          <w:p w14:paraId="5754ED5A">
            <w:pPr>
              <w:jc w:val="center"/>
              <w:rPr>
                <w:rFonts w:hint="default" w:ascii="Times New Roman" w:hAnsi="Times New Roman" w:eastAsia="宋体" w:cs="Times New Roman"/>
                <w:b/>
                <w:szCs w:val="20"/>
                <w:lang w:val="en-US" w:eastAsia="zh-CN"/>
              </w:rPr>
            </w:pPr>
            <w:r>
              <w:rPr>
                <w:rFonts w:hint="eastAsia" w:cs="Times New Roman"/>
                <w:b/>
                <w:szCs w:val="20"/>
                <w:lang w:val="en-US" w:eastAsia="zh-CN"/>
              </w:rPr>
              <w:t>套</w:t>
            </w:r>
          </w:p>
        </w:tc>
        <w:tc>
          <w:tcPr>
            <w:tcW w:w="2270" w:type="dxa"/>
            <w:vAlign w:val="center"/>
          </w:tcPr>
          <w:p w14:paraId="63A1C48D">
            <w:pPr>
              <w:jc w:val="left"/>
              <w:rPr>
                <w:rFonts w:hint="eastAsia" w:ascii="等线" w:hAnsi="等线" w:eastAsia="等线" w:cs="Times New Roman"/>
                <w:b/>
                <w:szCs w:val="20"/>
                <w:lang w:val="en-US" w:eastAsia="zh-CN"/>
              </w:rPr>
            </w:pPr>
            <w:r>
              <w:rPr>
                <w:rFonts w:hint="eastAsia" w:ascii="等线" w:hAnsi="等线" w:eastAsia="等线" w:cs="Times New Roman"/>
                <w:b/>
                <w:szCs w:val="20"/>
              </w:rPr>
              <w:t>不含税价</w:t>
            </w:r>
            <w:r>
              <w:rPr>
                <w:rFonts w:hint="eastAsia" w:ascii="等线" w:hAnsi="等线" w:eastAsia="等线" w:cs="Times New Roman"/>
                <w:b/>
                <w:szCs w:val="20"/>
                <w:lang w:eastAsia="zh-CN"/>
              </w:rPr>
              <w:t>：</w:t>
            </w:r>
          </w:p>
          <w:p w14:paraId="6C6D0F49">
            <w:pPr>
              <w:jc w:val="left"/>
              <w:rPr>
                <w:rFonts w:hint="default" w:ascii="等线" w:hAnsi="等线" w:eastAsia="等线" w:cs="Times New Roman"/>
                <w:b/>
                <w:szCs w:val="20"/>
                <w:lang w:val="en-US" w:eastAsia="zh-CN"/>
              </w:rPr>
            </w:pPr>
            <w:r>
              <w:rPr>
                <w:rFonts w:hint="eastAsia" w:ascii="等线" w:hAnsi="等线" w:eastAsia="等线" w:cs="Times New Roman"/>
                <w:b/>
                <w:szCs w:val="20"/>
              </w:rPr>
              <w:t>含税价格：</w:t>
            </w:r>
            <w:r>
              <w:rPr>
                <w:rFonts w:hint="eastAsia" w:ascii="等线" w:hAnsi="等线" w:eastAsia="等线" w:cs="Times New Roman"/>
                <w:b/>
                <w:szCs w:val="20"/>
                <w:u w:val="single"/>
                <w:lang w:val="en-US" w:eastAsia="zh-CN"/>
              </w:rPr>
              <w:t xml:space="preserve">    （大写：    ）</w:t>
            </w:r>
          </w:p>
          <w:p w14:paraId="34B462C2">
            <w:pPr>
              <w:jc w:val="left"/>
              <w:rPr>
                <w:rFonts w:hint="default" w:ascii="Times New Roman" w:hAnsi="Times New Roman" w:eastAsia="等线" w:cs="Times New Roman"/>
                <w:b/>
                <w:szCs w:val="20"/>
                <w:lang w:val="en-US" w:eastAsia="zh-CN"/>
              </w:rPr>
            </w:pPr>
            <w:r>
              <w:rPr>
                <w:rFonts w:hint="eastAsia" w:ascii="等线" w:hAnsi="等线" w:eastAsia="等线" w:cs="Times New Roman"/>
                <w:b/>
                <w:szCs w:val="20"/>
              </w:rPr>
              <w:t>税率：</w:t>
            </w:r>
          </w:p>
        </w:tc>
        <w:tc>
          <w:tcPr>
            <w:tcW w:w="1243" w:type="dxa"/>
            <w:vAlign w:val="center"/>
          </w:tcPr>
          <w:p w14:paraId="2E7E4711">
            <w:pPr>
              <w:jc w:val="center"/>
              <w:rPr>
                <w:rFonts w:ascii="Times New Roman" w:hAnsi="Times New Roman" w:eastAsia="宋体" w:cs="Times New Roman"/>
                <w:b/>
                <w:szCs w:val="20"/>
              </w:rPr>
            </w:pPr>
          </w:p>
        </w:tc>
        <w:tc>
          <w:tcPr>
            <w:tcW w:w="699" w:type="dxa"/>
            <w:vAlign w:val="center"/>
          </w:tcPr>
          <w:p w14:paraId="14D620AB">
            <w:pPr>
              <w:jc w:val="center"/>
              <w:rPr>
                <w:rFonts w:ascii="Times New Roman" w:hAnsi="Times New Roman" w:eastAsia="宋体" w:cs="Times New Roman"/>
                <w:b/>
                <w:szCs w:val="20"/>
              </w:rPr>
            </w:pPr>
          </w:p>
        </w:tc>
      </w:tr>
    </w:tbl>
    <w:p w14:paraId="2AC98F24">
      <w:pPr>
        <w:rPr>
          <w:rFonts w:ascii="宋体" w:hAnsi="Arial" w:eastAsia="宋体" w:cs="Times New Roman"/>
          <w:sz w:val="24"/>
          <w:szCs w:val="24"/>
        </w:rPr>
      </w:pPr>
    </w:p>
    <w:p w14:paraId="0B093042">
      <w:pPr>
        <w:spacing w:line="400" w:lineRule="exact"/>
        <w:rPr>
          <w:rFonts w:ascii="宋体" w:hAnsi="Calibri" w:eastAsia="宋体" w:cs="Times New Roman"/>
          <w:szCs w:val="21"/>
        </w:rPr>
      </w:pPr>
      <w:r>
        <w:rPr>
          <w:rFonts w:hint="eastAsia" w:ascii="宋体" w:hAnsi="宋体" w:eastAsia="宋体" w:cs="Times New Roman"/>
          <w:b/>
          <w:bCs/>
          <w:szCs w:val="21"/>
        </w:rPr>
        <w:t>注：</w:t>
      </w:r>
    </w:p>
    <w:p w14:paraId="440943D3">
      <w:pPr>
        <w:spacing w:line="520" w:lineRule="exact"/>
        <w:rPr>
          <w:rFonts w:ascii="宋体" w:hAnsi="Calibri" w:eastAsia="宋体" w:cs="Times New Roman"/>
          <w:b/>
          <w:bCs/>
          <w:szCs w:val="21"/>
        </w:rPr>
      </w:pPr>
      <w:r>
        <w:rPr>
          <w:rFonts w:ascii="宋体" w:hAnsi="宋体" w:eastAsia="宋体" w:cs="Times New Roman"/>
          <w:b/>
          <w:bCs/>
          <w:szCs w:val="21"/>
        </w:rPr>
        <w:t>1</w:t>
      </w:r>
      <w:r>
        <w:rPr>
          <w:rFonts w:hint="eastAsia" w:ascii="宋体" w:hAnsi="宋体" w:eastAsia="宋体" w:cs="Times New Roman"/>
          <w:b/>
          <w:bCs/>
          <w:szCs w:val="21"/>
        </w:rPr>
        <w:t>.此表中的报价必须与相应的报价明细表中的报价一致。</w:t>
      </w:r>
    </w:p>
    <w:p w14:paraId="4A5EE63D">
      <w:pPr>
        <w:spacing w:line="300" w:lineRule="auto"/>
        <w:rPr>
          <w:rFonts w:ascii="宋体" w:hAnsi="宋体" w:eastAsia="宋体" w:cs="宋体"/>
          <w:b/>
          <w:szCs w:val="20"/>
        </w:rPr>
      </w:pPr>
      <w:r>
        <w:rPr>
          <w:rFonts w:hint="eastAsia" w:ascii="宋体" w:hAnsi="宋体" w:cs="宋体"/>
          <w:b/>
          <w:szCs w:val="20"/>
          <w:lang w:val="en-US" w:eastAsia="zh-CN"/>
        </w:rPr>
        <w:t>2</w:t>
      </w:r>
      <w:r>
        <w:rPr>
          <w:rFonts w:hint="eastAsia" w:ascii="宋体" w:hAnsi="宋体" w:eastAsia="宋体" w:cs="宋体"/>
          <w:b/>
          <w:szCs w:val="20"/>
        </w:rPr>
        <w:t>.需写明含税价、不含税价格、税率。</w:t>
      </w:r>
    </w:p>
    <w:p w14:paraId="716860CE">
      <w:pPr>
        <w:pStyle w:val="15"/>
        <w:rPr>
          <w:rFonts w:hint="eastAsia" w:hAnsi="宋体" w:eastAsia="宋体" w:cs="Times New Roman"/>
          <w:b/>
          <w:bCs/>
          <w:szCs w:val="21"/>
          <w:highlight w:val="none"/>
        </w:rPr>
      </w:pPr>
      <w:r>
        <w:rPr>
          <w:rFonts w:hint="eastAsia" w:hAnsi="宋体" w:cs="宋体"/>
          <w:b/>
          <w:szCs w:val="20"/>
          <w:highlight w:val="none"/>
          <w:lang w:val="en-US" w:eastAsia="zh-CN"/>
        </w:rPr>
        <w:t>3</w:t>
      </w:r>
      <w:r>
        <w:rPr>
          <w:rFonts w:hint="eastAsia" w:hAnsi="宋体" w:eastAsia="宋体" w:cs="宋体"/>
          <w:b/>
          <w:szCs w:val="20"/>
          <w:highlight w:val="none"/>
        </w:rPr>
        <w:t>.</w:t>
      </w:r>
      <w:r>
        <w:rPr>
          <w:rFonts w:hint="eastAsia" w:hAnsi="宋体" w:eastAsia="宋体" w:cs="Times New Roman"/>
          <w:b/>
          <w:bCs/>
          <w:szCs w:val="21"/>
          <w:highlight w:val="none"/>
        </w:rPr>
        <w:t>投标总价包括</w:t>
      </w:r>
      <w:r>
        <w:rPr>
          <w:rFonts w:hint="eastAsia" w:hAnsi="宋体" w:cs="Times New Roman"/>
          <w:b/>
          <w:bCs/>
          <w:szCs w:val="21"/>
          <w:highlight w:val="none"/>
          <w:u w:val="none"/>
          <w:lang w:val="en-US" w:eastAsia="zh-CN"/>
        </w:rPr>
        <w:t>全部费用</w:t>
      </w:r>
      <w:r>
        <w:rPr>
          <w:rFonts w:hint="eastAsia" w:hAnsi="宋体" w:eastAsia="宋体" w:cs="Times New Roman"/>
          <w:b/>
          <w:bCs/>
          <w:szCs w:val="21"/>
          <w:highlight w:val="none"/>
        </w:rPr>
        <w:t>。</w:t>
      </w:r>
    </w:p>
    <w:p w14:paraId="7CA9A866">
      <w:pPr>
        <w:pStyle w:val="15"/>
        <w:rPr>
          <w:rFonts w:hint="eastAsia" w:hAnsi="宋体" w:eastAsia="宋体" w:cs="Times New Roman"/>
          <w:b/>
          <w:bCs/>
          <w:szCs w:val="21"/>
          <w:highlight w:val="yellow"/>
        </w:rPr>
      </w:pPr>
    </w:p>
    <w:p w14:paraId="31061A95">
      <w:pPr>
        <w:pStyle w:val="15"/>
        <w:rPr>
          <w:rFonts w:hint="eastAsia" w:hAnsi="宋体" w:eastAsia="宋体" w:cs="Times New Roman"/>
          <w:b/>
          <w:bCs/>
          <w:szCs w:val="21"/>
          <w:highlight w:val="yellow"/>
        </w:rPr>
      </w:pPr>
    </w:p>
    <w:p w14:paraId="5A2F2EC2">
      <w:pPr>
        <w:spacing w:line="660" w:lineRule="exact"/>
        <w:jc w:val="center"/>
        <w:rPr>
          <w:rFonts w:ascii="宋体" w:hAnsi="Calibri" w:eastAsia="宋体" w:cs="Times New Roman"/>
          <w:sz w:val="24"/>
          <w:szCs w:val="20"/>
        </w:rPr>
      </w:pPr>
      <w:r>
        <w:rPr>
          <w:rFonts w:hint="eastAsia" w:ascii="宋体" w:hAnsi="宋体" w:cs="Times New Roman"/>
          <w:sz w:val="24"/>
          <w:szCs w:val="20"/>
          <w:lang w:val="en-US" w:eastAsia="zh-CN"/>
        </w:rPr>
        <w:t xml:space="preserve">                        </w:t>
      </w:r>
      <w:r>
        <w:rPr>
          <w:rFonts w:hint="eastAsia" w:ascii="宋体" w:hAnsi="宋体" w:eastAsia="宋体" w:cs="Times New Roman"/>
          <w:sz w:val="24"/>
          <w:szCs w:val="20"/>
        </w:rPr>
        <w:t>投标人：（盖章）</w:t>
      </w:r>
    </w:p>
    <w:p w14:paraId="3B316BD5">
      <w:pPr>
        <w:spacing w:line="660" w:lineRule="exact"/>
        <w:jc w:val="right"/>
        <w:rPr>
          <w:rFonts w:ascii="宋体" w:hAnsi="Calibri" w:eastAsia="宋体" w:cs="Times New Roman"/>
          <w:sz w:val="24"/>
          <w:szCs w:val="20"/>
        </w:rPr>
      </w:pPr>
      <w:r>
        <w:rPr>
          <w:rFonts w:hint="eastAsia" w:ascii="宋体" w:hAnsi="宋体" w:eastAsia="宋体" w:cs="Times New Roman"/>
          <w:sz w:val="24"/>
          <w:szCs w:val="20"/>
        </w:rPr>
        <w:t>法定代表人（委托代理人）：（签字）</w:t>
      </w:r>
    </w:p>
    <w:p w14:paraId="5E5A5D5F">
      <w:pPr>
        <w:spacing w:line="660" w:lineRule="exact"/>
        <w:jc w:val="center"/>
        <w:rPr>
          <w:rFonts w:ascii="宋体" w:hAnsi="Calibri" w:eastAsia="宋体" w:cs="Times New Roman"/>
          <w:sz w:val="24"/>
          <w:szCs w:val="20"/>
        </w:rPr>
      </w:pPr>
      <w:r>
        <w:rPr>
          <w:rFonts w:hint="eastAsia" w:ascii="宋体" w:hAnsi="宋体" w:cs="Times New Roman"/>
          <w:sz w:val="24"/>
          <w:szCs w:val="20"/>
          <w:lang w:val="en-US" w:eastAsia="zh-CN"/>
        </w:rPr>
        <w:t xml:space="preserve">                                     </w:t>
      </w:r>
      <w:r>
        <w:rPr>
          <w:rFonts w:hint="eastAsia" w:ascii="宋体" w:hAnsi="宋体" w:eastAsia="宋体" w:cs="Times New Roman"/>
          <w:sz w:val="24"/>
          <w:szCs w:val="20"/>
        </w:rPr>
        <w:t>日</w:t>
      </w:r>
      <w:r>
        <w:rPr>
          <w:rFonts w:ascii="宋体" w:hAnsi="宋体" w:eastAsia="宋体" w:cs="Times New Roman"/>
          <w:sz w:val="24"/>
          <w:szCs w:val="20"/>
        </w:rPr>
        <w:t xml:space="preserve">  </w:t>
      </w:r>
      <w:r>
        <w:rPr>
          <w:rFonts w:hint="eastAsia" w:ascii="宋体" w:hAnsi="宋体" w:eastAsia="宋体" w:cs="Times New Roman"/>
          <w:sz w:val="24"/>
          <w:szCs w:val="20"/>
        </w:rPr>
        <w:t>期：</w:t>
      </w:r>
      <w:r>
        <w:rPr>
          <w:rFonts w:ascii="宋体" w:hAnsi="宋体" w:eastAsia="宋体" w:cs="Times New Roman"/>
          <w:sz w:val="24"/>
          <w:szCs w:val="20"/>
          <w:u w:val="single"/>
        </w:rPr>
        <w:t xml:space="preserve">       </w:t>
      </w:r>
      <w:r>
        <w:rPr>
          <w:rFonts w:hint="eastAsia" w:ascii="宋体" w:hAnsi="宋体" w:eastAsia="宋体" w:cs="Times New Roman"/>
          <w:sz w:val="24"/>
          <w:szCs w:val="20"/>
        </w:rPr>
        <w:t>年</w:t>
      </w:r>
      <w:r>
        <w:rPr>
          <w:rFonts w:ascii="宋体" w:hAnsi="宋体" w:eastAsia="宋体" w:cs="Times New Roman"/>
          <w:sz w:val="24"/>
          <w:szCs w:val="20"/>
          <w:u w:val="single"/>
        </w:rPr>
        <w:t xml:space="preserve">    </w:t>
      </w:r>
      <w:r>
        <w:rPr>
          <w:rFonts w:hint="eastAsia" w:ascii="宋体" w:hAnsi="宋体" w:eastAsia="宋体" w:cs="Times New Roman"/>
          <w:sz w:val="24"/>
          <w:szCs w:val="20"/>
        </w:rPr>
        <w:t>月</w:t>
      </w:r>
      <w:r>
        <w:rPr>
          <w:rFonts w:ascii="宋体" w:hAnsi="宋体" w:eastAsia="宋体" w:cs="Times New Roman"/>
          <w:sz w:val="24"/>
          <w:szCs w:val="20"/>
          <w:u w:val="single"/>
        </w:rPr>
        <w:t xml:space="preserve">    </w:t>
      </w:r>
      <w:r>
        <w:rPr>
          <w:rFonts w:hint="eastAsia" w:ascii="宋体" w:hAnsi="宋体" w:eastAsia="宋体" w:cs="Times New Roman"/>
          <w:sz w:val="24"/>
          <w:szCs w:val="20"/>
        </w:rPr>
        <w:t>日</w:t>
      </w:r>
    </w:p>
    <w:p w14:paraId="40B2C361">
      <w:pPr>
        <w:pStyle w:val="72"/>
        <w:numPr>
          <w:ilvl w:val="0"/>
          <w:numId w:val="0"/>
        </w:numPr>
        <w:ind w:leftChars="0"/>
      </w:pPr>
      <w:r>
        <w:t xml:space="preserve"> </w:t>
      </w:r>
    </w:p>
    <w:p w14:paraId="36B9F02A">
      <w:pPr>
        <w:pStyle w:val="72"/>
        <w:numPr>
          <w:ilvl w:val="0"/>
          <w:numId w:val="0"/>
        </w:numPr>
        <w:ind w:leftChars="0"/>
      </w:pPr>
    </w:p>
    <w:p w14:paraId="6E7F97B7">
      <w:pPr>
        <w:pStyle w:val="72"/>
        <w:numPr>
          <w:ilvl w:val="0"/>
          <w:numId w:val="0"/>
        </w:numPr>
        <w:ind w:leftChars="0"/>
      </w:pPr>
    </w:p>
    <w:p w14:paraId="3F830A7C">
      <w:pPr>
        <w:pStyle w:val="72"/>
        <w:numPr>
          <w:ilvl w:val="0"/>
          <w:numId w:val="0"/>
        </w:numPr>
        <w:ind w:leftChars="0"/>
      </w:pPr>
    </w:p>
    <w:p w14:paraId="391DF144">
      <w:pPr>
        <w:pStyle w:val="72"/>
        <w:numPr>
          <w:ilvl w:val="0"/>
          <w:numId w:val="0"/>
        </w:numPr>
        <w:ind w:leftChars="0"/>
      </w:pPr>
    </w:p>
    <w:p w14:paraId="4E421771">
      <w:pPr>
        <w:pStyle w:val="72"/>
        <w:numPr>
          <w:ilvl w:val="0"/>
          <w:numId w:val="0"/>
        </w:numPr>
        <w:ind w:leftChars="0"/>
      </w:pPr>
    </w:p>
    <w:p w14:paraId="23E75332">
      <w:pPr>
        <w:pStyle w:val="76"/>
        <w:rPr>
          <w:rFonts w:hint="default" w:hAnsi="宋体"/>
          <w:sz w:val="24"/>
          <w:lang w:val="en-US"/>
        </w:rPr>
      </w:pPr>
    </w:p>
    <w:p w14:paraId="6C824BBA">
      <w:pPr>
        <w:pStyle w:val="76"/>
        <w:rPr>
          <w:rFonts w:hint="default" w:hAnsi="宋体"/>
          <w:sz w:val="24"/>
          <w:lang w:val="en-US"/>
        </w:rPr>
      </w:pPr>
    </w:p>
    <w:p w14:paraId="0F1B7C9D">
      <w:pPr>
        <w:pStyle w:val="76"/>
        <w:rPr>
          <w:rFonts w:hint="default" w:hAnsi="宋体"/>
          <w:sz w:val="24"/>
          <w:lang w:val="en-US"/>
        </w:rPr>
      </w:pPr>
    </w:p>
    <w:p w14:paraId="4F0F8D76">
      <w:pPr>
        <w:pStyle w:val="15"/>
        <w:outlineLvl w:val="2"/>
        <w:rPr>
          <w:rFonts w:hint="eastAsia" w:hAnsi="宋体" w:eastAsia="宋体" w:cs="宋体"/>
          <w:b/>
          <w:bCs/>
          <w:sz w:val="24"/>
          <w:szCs w:val="24"/>
        </w:rPr>
      </w:pPr>
    </w:p>
    <w:p w14:paraId="49251AEE">
      <w:pPr>
        <w:pStyle w:val="15"/>
        <w:outlineLvl w:val="2"/>
        <w:rPr>
          <w:rFonts w:hAnsi="宋体" w:eastAsia="宋体" w:cs="宋体"/>
          <w:b/>
          <w:bCs/>
          <w:sz w:val="24"/>
          <w:szCs w:val="24"/>
        </w:rPr>
      </w:pPr>
      <w:r>
        <w:rPr>
          <w:rFonts w:hint="eastAsia" w:hAnsi="宋体" w:eastAsia="宋体" w:cs="宋体"/>
          <w:b/>
          <w:bCs/>
          <w:sz w:val="24"/>
          <w:szCs w:val="24"/>
        </w:rPr>
        <w:t>附件15 SRM非生产供应商注册操作手册</w:t>
      </w:r>
    </w:p>
    <w:p w14:paraId="7E66B0FC">
      <w:pPr>
        <w:pStyle w:val="15"/>
        <w:rPr>
          <w:rFonts w:eastAsia="宋体"/>
        </w:rPr>
      </w:pPr>
    </w:p>
    <w:p w14:paraId="72BFE6EA">
      <w:pPr>
        <w:adjustRightInd w:val="0"/>
        <w:snapToGrid w:val="0"/>
        <w:spacing w:line="360" w:lineRule="auto"/>
        <w:jc w:val="left"/>
        <w:rPr>
          <w:rFonts w:ascii="宋体" w:hAnsi="宋体" w:eastAsia="宋体" w:cs="宋体"/>
          <w:sz w:val="24"/>
          <w:szCs w:val="24"/>
        </w:rPr>
      </w:pPr>
      <w:r>
        <w:rPr>
          <w:rFonts w:ascii="宋体" w:hAnsi="宋体" w:eastAsia="宋体" w:cs="宋体"/>
          <w:sz w:val="24"/>
          <w:szCs w:val="24"/>
        </w:rPr>
        <w:t>浏览器中输入地址;</w:t>
      </w:r>
    </w:p>
    <w:p w14:paraId="128497FF">
      <w:pPr>
        <w:adjustRightInd w:val="0"/>
        <w:snapToGrid w:val="0"/>
        <w:spacing w:line="360" w:lineRule="auto"/>
        <w:jc w:val="left"/>
        <w:rPr>
          <w:rFonts w:ascii="宋体" w:hAnsi="宋体" w:eastAsia="宋体" w:cs="宋体"/>
          <w:sz w:val="24"/>
          <w:szCs w:val="24"/>
        </w:rPr>
      </w:pPr>
      <w:r>
        <w:fldChar w:fldCharType="begin"/>
      </w:r>
      <w:r>
        <w:instrText xml:space="preserve"> HYPERLINK "http://ecaitong.sinotruk.com:8012/" \l "/login" \t "dlt" </w:instrText>
      </w:r>
      <w:r>
        <w:fldChar w:fldCharType="separate"/>
      </w:r>
      <w:r>
        <w:rPr>
          <w:rFonts w:ascii="宋体" w:hAnsi="宋体" w:eastAsia="宋体" w:cs="宋体"/>
          <w:sz w:val="24"/>
          <w:szCs w:val="24"/>
        </w:rPr>
        <w:t>http</w:t>
      </w:r>
      <w:r>
        <w:rPr>
          <w:rFonts w:hint="eastAsia" w:ascii="宋体" w:hAnsi="宋体" w:eastAsia="宋体" w:cs="宋体"/>
          <w:sz w:val="24"/>
          <w:szCs w:val="24"/>
        </w:rPr>
        <w:t>s</w:t>
      </w:r>
      <w:r>
        <w:rPr>
          <w:rFonts w:ascii="宋体" w:hAnsi="宋体" w:eastAsia="宋体" w:cs="宋体"/>
          <w:sz w:val="24"/>
          <w:szCs w:val="24"/>
        </w:rPr>
        <w:t>://ecaitong.sinotruk.com:8012/#/login</w:t>
      </w:r>
      <w:r>
        <w:rPr>
          <w:rFonts w:ascii="宋体" w:hAnsi="宋体" w:eastAsia="宋体" w:cs="宋体"/>
          <w:sz w:val="24"/>
          <w:szCs w:val="24"/>
        </w:rPr>
        <w:fldChar w:fldCharType="end"/>
      </w:r>
    </w:p>
    <w:p w14:paraId="6817EDE8">
      <w:pPr>
        <w:adjustRightInd w:val="0"/>
        <w:snapToGrid w:val="0"/>
        <w:spacing w:line="360" w:lineRule="auto"/>
        <w:jc w:val="left"/>
        <w:rPr>
          <w:rFonts w:ascii="宋体" w:hAnsi="宋体" w:eastAsia="宋体" w:cs="宋体"/>
          <w:sz w:val="24"/>
          <w:szCs w:val="24"/>
        </w:rPr>
      </w:pPr>
      <w:r>
        <w:rPr>
          <w:rFonts w:ascii="宋体" w:hAnsi="宋体" w:eastAsia="宋体" w:cs="宋体"/>
          <w:sz w:val="24"/>
          <w:szCs w:val="24"/>
        </w:rPr>
        <w:t>1.点击立即注册</w:t>
      </w:r>
    </w:p>
    <w:p w14:paraId="58FD0791">
      <w:pPr>
        <w:snapToGrid w:val="0"/>
        <w:spacing w:line="312" w:lineRule="auto"/>
      </w:pPr>
      <w:r>
        <w:drawing>
          <wp:inline distT="0" distB="0" distL="0" distR="0">
            <wp:extent cx="5760085" cy="2933065"/>
            <wp:effectExtent l="0" t="0" r="5715" b="635"/>
            <wp:docPr id="19" name="picture" descr="descript"/>
            <wp:cNvGraphicFramePr/>
            <a:graphic xmlns:a="http://schemas.openxmlformats.org/drawingml/2006/main">
              <a:graphicData uri="http://schemas.openxmlformats.org/drawingml/2006/picture">
                <pic:pic xmlns:pic="http://schemas.openxmlformats.org/drawingml/2006/picture">
                  <pic:nvPicPr>
                    <pic:cNvPr id="19" name="picture" descr="descript"/>
                    <pic:cNvPicPr/>
                  </pic:nvPicPr>
                  <pic:blipFill>
                    <a:blip r:embed="rId14"/>
                    <a:stretch>
                      <a:fillRect/>
                    </a:stretch>
                  </pic:blipFill>
                  <pic:spPr>
                    <a:xfrm>
                      <a:off x="0" y="0"/>
                      <a:ext cx="5760085" cy="2933377"/>
                    </a:xfrm>
                    <a:prstGeom prst="rect">
                      <a:avLst/>
                    </a:prstGeom>
                  </pic:spPr>
                </pic:pic>
              </a:graphicData>
            </a:graphic>
          </wp:inline>
        </w:drawing>
      </w:r>
    </w:p>
    <w:p w14:paraId="747B2FA9">
      <w:pPr>
        <w:spacing w:line="360" w:lineRule="auto"/>
        <w:rPr>
          <w:rFonts w:ascii="宋体" w:hAnsi="宋体" w:eastAsia="宋体" w:cs="宋体"/>
          <w:sz w:val="24"/>
          <w:szCs w:val="28"/>
        </w:rPr>
      </w:pPr>
      <w:r>
        <w:rPr>
          <w:rFonts w:hint="eastAsia" w:ascii="宋体" w:hAnsi="宋体" w:eastAsia="宋体" w:cs="宋体"/>
          <w:sz w:val="24"/>
          <w:szCs w:val="28"/>
        </w:rPr>
        <w:t>2.</w:t>
      </w:r>
      <w:r>
        <w:rPr>
          <w:rFonts w:ascii="宋体" w:hAnsi="宋体" w:eastAsia="宋体" w:cs="宋体"/>
          <w:sz w:val="24"/>
          <w:szCs w:val="28"/>
        </w:rPr>
        <w:t>填写手机号码（没有注册过的）</w:t>
      </w:r>
    </w:p>
    <w:p w14:paraId="79C1BE73">
      <w:pPr>
        <w:snapToGrid w:val="0"/>
        <w:spacing w:line="312" w:lineRule="auto"/>
      </w:pPr>
      <w:r>
        <w:drawing>
          <wp:inline distT="0" distB="0" distL="0" distR="0">
            <wp:extent cx="5760085" cy="2766695"/>
            <wp:effectExtent l="0" t="0" r="5715" b="1905"/>
            <wp:docPr id="20" name="picture" descr="descript"/>
            <wp:cNvGraphicFramePr/>
            <a:graphic xmlns:a="http://schemas.openxmlformats.org/drawingml/2006/main">
              <a:graphicData uri="http://schemas.openxmlformats.org/drawingml/2006/picture">
                <pic:pic xmlns:pic="http://schemas.openxmlformats.org/drawingml/2006/picture">
                  <pic:nvPicPr>
                    <pic:cNvPr id="20" name="picture" descr="descript"/>
                    <pic:cNvPicPr/>
                  </pic:nvPicPr>
                  <pic:blipFill>
                    <a:blip r:embed="rId15"/>
                    <a:stretch>
                      <a:fillRect/>
                    </a:stretch>
                  </pic:blipFill>
                  <pic:spPr>
                    <a:xfrm>
                      <a:off x="0" y="0"/>
                      <a:ext cx="5760085" cy="2766707"/>
                    </a:xfrm>
                    <a:prstGeom prst="rect">
                      <a:avLst/>
                    </a:prstGeom>
                  </pic:spPr>
                </pic:pic>
              </a:graphicData>
            </a:graphic>
          </wp:inline>
        </w:drawing>
      </w:r>
    </w:p>
    <w:p w14:paraId="78EFE922">
      <w:pPr>
        <w:spacing w:line="360" w:lineRule="auto"/>
        <w:rPr>
          <w:rFonts w:ascii="宋体" w:hAnsi="宋体" w:eastAsia="宋体" w:cs="宋体"/>
          <w:sz w:val="24"/>
          <w:szCs w:val="28"/>
        </w:rPr>
      </w:pPr>
      <w:r>
        <w:rPr>
          <w:rFonts w:hint="eastAsia" w:ascii="宋体" w:hAnsi="宋体" w:eastAsia="宋体" w:cs="宋体"/>
          <w:sz w:val="24"/>
          <w:szCs w:val="28"/>
        </w:rPr>
        <w:t>3.</w:t>
      </w:r>
      <w:r>
        <w:rPr>
          <w:rFonts w:ascii="宋体" w:hAnsi="宋体" w:eastAsia="宋体" w:cs="宋体"/>
          <w:sz w:val="24"/>
          <w:szCs w:val="28"/>
        </w:rPr>
        <w:t>注册成功登录这个手机号码的账号进入系统，点击供应商注册</w:t>
      </w:r>
    </w:p>
    <w:p w14:paraId="4ACA685A">
      <w:pPr>
        <w:snapToGrid w:val="0"/>
        <w:spacing w:line="312" w:lineRule="auto"/>
      </w:pPr>
      <w:r>
        <w:drawing>
          <wp:inline distT="0" distB="0" distL="0" distR="0">
            <wp:extent cx="5760085" cy="2869565"/>
            <wp:effectExtent l="0" t="0" r="5715" b="635"/>
            <wp:docPr id="21" name="picture" descr="descript"/>
            <wp:cNvGraphicFramePr/>
            <a:graphic xmlns:a="http://schemas.openxmlformats.org/drawingml/2006/main">
              <a:graphicData uri="http://schemas.openxmlformats.org/drawingml/2006/picture">
                <pic:pic xmlns:pic="http://schemas.openxmlformats.org/drawingml/2006/picture">
                  <pic:nvPicPr>
                    <pic:cNvPr id="21" name="picture" descr="descript"/>
                    <pic:cNvPicPr/>
                  </pic:nvPicPr>
                  <pic:blipFill>
                    <a:blip r:embed="rId16"/>
                    <a:stretch>
                      <a:fillRect/>
                    </a:stretch>
                  </pic:blipFill>
                  <pic:spPr>
                    <a:xfrm>
                      <a:off x="0" y="0"/>
                      <a:ext cx="5760085" cy="2870054"/>
                    </a:xfrm>
                    <a:prstGeom prst="rect">
                      <a:avLst/>
                    </a:prstGeom>
                  </pic:spPr>
                </pic:pic>
              </a:graphicData>
            </a:graphic>
          </wp:inline>
        </w:drawing>
      </w:r>
    </w:p>
    <w:p w14:paraId="3F978093">
      <w:pPr>
        <w:spacing w:line="360" w:lineRule="auto"/>
        <w:rPr>
          <w:rFonts w:ascii="宋体" w:hAnsi="宋体" w:eastAsia="宋体" w:cs="宋体"/>
          <w:sz w:val="24"/>
          <w:szCs w:val="28"/>
        </w:rPr>
      </w:pPr>
      <w:r>
        <w:rPr>
          <w:rFonts w:hint="eastAsia" w:ascii="宋体" w:hAnsi="宋体" w:eastAsia="宋体" w:cs="宋体"/>
          <w:sz w:val="24"/>
          <w:szCs w:val="28"/>
        </w:rPr>
        <w:t>4.</w:t>
      </w:r>
      <w:r>
        <w:rPr>
          <w:rFonts w:ascii="宋体" w:hAnsi="宋体" w:eastAsia="宋体" w:cs="宋体"/>
          <w:sz w:val="24"/>
          <w:szCs w:val="28"/>
        </w:rPr>
        <w:t>点击新增</w:t>
      </w:r>
    </w:p>
    <w:p w14:paraId="54BB5580">
      <w:pPr>
        <w:snapToGrid w:val="0"/>
        <w:spacing w:line="312" w:lineRule="auto"/>
      </w:pPr>
      <w:r>
        <w:drawing>
          <wp:inline distT="0" distB="0" distL="0" distR="0">
            <wp:extent cx="5760085" cy="2853055"/>
            <wp:effectExtent l="0" t="0" r="5715" b="4445"/>
            <wp:docPr id="22" name="picture" descr="descript"/>
            <wp:cNvGraphicFramePr/>
            <a:graphic xmlns:a="http://schemas.openxmlformats.org/drawingml/2006/main">
              <a:graphicData uri="http://schemas.openxmlformats.org/drawingml/2006/picture">
                <pic:pic xmlns:pic="http://schemas.openxmlformats.org/drawingml/2006/picture">
                  <pic:nvPicPr>
                    <pic:cNvPr id="22" name="picture" descr="descript"/>
                    <pic:cNvPicPr/>
                  </pic:nvPicPr>
                  <pic:blipFill>
                    <a:blip r:embed="rId17"/>
                    <a:stretch>
                      <a:fillRect/>
                    </a:stretch>
                  </pic:blipFill>
                  <pic:spPr>
                    <a:xfrm>
                      <a:off x="0" y="0"/>
                      <a:ext cx="5760085" cy="2853375"/>
                    </a:xfrm>
                    <a:prstGeom prst="rect">
                      <a:avLst/>
                    </a:prstGeom>
                  </pic:spPr>
                </pic:pic>
              </a:graphicData>
            </a:graphic>
          </wp:inline>
        </w:drawing>
      </w:r>
    </w:p>
    <w:p w14:paraId="4EC0C122">
      <w:pPr>
        <w:spacing w:line="360" w:lineRule="auto"/>
        <w:rPr>
          <w:rFonts w:ascii="宋体" w:hAnsi="宋体" w:eastAsia="宋体" w:cs="宋体"/>
          <w:sz w:val="24"/>
          <w:szCs w:val="28"/>
        </w:rPr>
      </w:pPr>
      <w:r>
        <w:rPr>
          <w:rFonts w:hint="eastAsia" w:ascii="宋体" w:hAnsi="宋体" w:eastAsia="宋体" w:cs="宋体"/>
          <w:sz w:val="24"/>
          <w:szCs w:val="28"/>
        </w:rPr>
        <w:t>5.</w:t>
      </w:r>
      <w:r>
        <w:rPr>
          <w:rFonts w:ascii="宋体" w:hAnsi="宋体" w:eastAsia="宋体" w:cs="宋体"/>
          <w:sz w:val="24"/>
          <w:szCs w:val="28"/>
        </w:rPr>
        <w:t>按要求填写所有信息，注意非生产类要填写合作单位，最后提交审批</w:t>
      </w:r>
    </w:p>
    <w:p w14:paraId="3B45F43D">
      <w:pPr>
        <w:pStyle w:val="15"/>
      </w:pPr>
    </w:p>
    <w:p w14:paraId="1880C39D">
      <w:r>
        <w:drawing>
          <wp:inline distT="0" distB="0" distL="0" distR="0">
            <wp:extent cx="5760085" cy="2809875"/>
            <wp:effectExtent l="0" t="0" r="5715" b="9525"/>
            <wp:docPr id="23" name="picture" descr="descript"/>
            <wp:cNvGraphicFramePr/>
            <a:graphic xmlns:a="http://schemas.openxmlformats.org/drawingml/2006/main">
              <a:graphicData uri="http://schemas.openxmlformats.org/drawingml/2006/picture">
                <pic:pic xmlns:pic="http://schemas.openxmlformats.org/drawingml/2006/picture">
                  <pic:nvPicPr>
                    <pic:cNvPr id="23" name="picture" descr="descript"/>
                    <pic:cNvPicPr/>
                  </pic:nvPicPr>
                  <pic:blipFill>
                    <a:blip r:embed="rId18"/>
                    <a:stretch>
                      <a:fillRect/>
                    </a:stretch>
                  </pic:blipFill>
                  <pic:spPr>
                    <a:xfrm>
                      <a:off x="0" y="0"/>
                      <a:ext cx="5760085" cy="2810122"/>
                    </a:xfrm>
                    <a:prstGeom prst="rect">
                      <a:avLst/>
                    </a:prstGeom>
                  </pic:spPr>
                </pic:pic>
              </a:graphicData>
            </a:graphic>
          </wp:inline>
        </w:drawing>
      </w:r>
    </w:p>
    <w:p w14:paraId="383E7642">
      <w:pPr>
        <w:pStyle w:val="15"/>
      </w:pPr>
      <w:r>
        <w:drawing>
          <wp:inline distT="0" distB="0" distL="0" distR="0">
            <wp:extent cx="5760085" cy="2820035"/>
            <wp:effectExtent l="0" t="0" r="5715" b="12065"/>
            <wp:docPr id="24" name="picture" descr="descript"/>
            <wp:cNvGraphicFramePr/>
            <a:graphic xmlns:a="http://schemas.openxmlformats.org/drawingml/2006/main">
              <a:graphicData uri="http://schemas.openxmlformats.org/drawingml/2006/picture">
                <pic:pic xmlns:pic="http://schemas.openxmlformats.org/drawingml/2006/picture">
                  <pic:nvPicPr>
                    <pic:cNvPr id="24" name="picture" descr="descript"/>
                    <pic:cNvPicPr/>
                  </pic:nvPicPr>
                  <pic:blipFill>
                    <a:blip r:embed="rId19"/>
                    <a:stretch>
                      <a:fillRect/>
                    </a:stretch>
                  </pic:blipFill>
                  <pic:spPr>
                    <a:xfrm>
                      <a:off x="0" y="0"/>
                      <a:ext cx="5760085" cy="2820042"/>
                    </a:xfrm>
                    <a:prstGeom prst="rect">
                      <a:avLst/>
                    </a:prstGeom>
                  </pic:spPr>
                </pic:pic>
              </a:graphicData>
            </a:graphic>
          </wp:inline>
        </w:drawing>
      </w:r>
    </w:p>
    <w:p w14:paraId="64FA3AFF">
      <w:pPr>
        <w:pStyle w:val="15"/>
      </w:pPr>
    </w:p>
    <w:p w14:paraId="3AB8B29F">
      <w:pPr>
        <w:rPr>
          <w:rFonts w:ascii="宋体" w:hAnsi="宋体" w:eastAsia="宋体" w:cs="宋体"/>
          <w:b/>
          <w:bCs/>
          <w:sz w:val="24"/>
          <w:szCs w:val="28"/>
        </w:rPr>
      </w:pPr>
      <w:r>
        <w:rPr>
          <w:rFonts w:hint="eastAsia" w:ascii="宋体" w:hAnsi="宋体" w:eastAsia="宋体" w:cs="宋体"/>
          <w:b/>
          <w:bCs/>
          <w:sz w:val="24"/>
          <w:szCs w:val="28"/>
        </w:rPr>
        <w:t>注：</w:t>
      </w:r>
    </w:p>
    <w:p w14:paraId="6ADF1625">
      <w:pPr>
        <w:rPr>
          <w:rFonts w:ascii="宋体" w:hAnsi="宋体" w:eastAsia="宋体" w:cs="宋体"/>
          <w:b/>
          <w:bCs/>
          <w:sz w:val="24"/>
          <w:szCs w:val="28"/>
        </w:rPr>
      </w:pPr>
      <w:r>
        <w:rPr>
          <w:rFonts w:hint="eastAsia" w:ascii="宋体" w:hAnsi="宋体" w:eastAsia="宋体" w:cs="宋体"/>
          <w:b/>
          <w:bCs/>
          <w:sz w:val="24"/>
          <w:szCs w:val="28"/>
        </w:rPr>
        <w:t>1.“项目名称”和“采购形式编号”见投标须知前附表1.1；</w:t>
      </w:r>
    </w:p>
    <w:p w14:paraId="7036900C">
      <w:pPr>
        <w:pStyle w:val="15"/>
        <w:outlineLvl w:val="2"/>
        <w:rPr>
          <w:rFonts w:hAnsi="宋体" w:eastAsia="宋体" w:cs="宋体"/>
          <w:b/>
          <w:bCs/>
          <w:sz w:val="24"/>
          <w:szCs w:val="28"/>
        </w:rPr>
      </w:pPr>
      <w:r>
        <w:rPr>
          <w:rFonts w:hint="eastAsia" w:hAnsi="宋体" w:eastAsia="宋体" w:cs="宋体"/>
          <w:b/>
          <w:bCs/>
          <w:sz w:val="24"/>
          <w:szCs w:val="28"/>
        </w:rPr>
        <w:t>2.配套能力“供货类别”填“计量检具”，业务主管部门为“质量部”。</w:t>
      </w:r>
    </w:p>
    <w:p w14:paraId="7E403E87">
      <w:pPr>
        <w:rPr>
          <w:rFonts w:ascii="宋体" w:hAnsi="宋体" w:eastAsia="宋体" w:cs="宋体"/>
          <w:b/>
          <w:bCs/>
          <w:sz w:val="24"/>
          <w:szCs w:val="24"/>
        </w:rPr>
      </w:pPr>
      <w:r>
        <w:rPr>
          <w:rFonts w:hint="eastAsia" w:ascii="宋体" w:hAnsi="宋体" w:eastAsia="宋体" w:cs="宋体"/>
          <w:b/>
          <w:bCs/>
          <w:sz w:val="24"/>
          <w:szCs w:val="24"/>
        </w:rPr>
        <w:br w:type="page"/>
      </w:r>
    </w:p>
    <w:p w14:paraId="04DACCB5">
      <w:pPr>
        <w:pStyle w:val="15"/>
        <w:outlineLvl w:val="2"/>
        <w:rPr>
          <w:rFonts w:hAnsi="宋体" w:eastAsia="宋体" w:cs="Times New Roman"/>
          <w:b/>
          <w:sz w:val="24"/>
          <w:szCs w:val="24"/>
        </w:rPr>
      </w:pPr>
      <w:r>
        <w:rPr>
          <w:rFonts w:hint="eastAsia" w:hAnsi="宋体" w:eastAsia="宋体" w:cs="宋体"/>
          <w:b/>
          <w:bCs/>
          <w:sz w:val="24"/>
          <w:szCs w:val="24"/>
        </w:rPr>
        <w:t xml:space="preserve">附件16 </w:t>
      </w:r>
      <w:r>
        <w:rPr>
          <w:rFonts w:hint="eastAsia" w:hAnsi="宋体" w:eastAsia="宋体" w:cs="Times New Roman"/>
          <w:b/>
          <w:sz w:val="24"/>
          <w:szCs w:val="24"/>
        </w:rPr>
        <w:t>SRM系统供应商用户手册</w:t>
      </w:r>
    </w:p>
    <w:p w14:paraId="4FD2B33C">
      <w:pPr>
        <w:spacing w:line="360" w:lineRule="auto"/>
        <w:rPr>
          <w:rFonts w:ascii="宋体" w:hAnsi="宋体" w:eastAsia="宋体" w:cs="宋体"/>
          <w:sz w:val="24"/>
          <w:szCs w:val="24"/>
        </w:rPr>
      </w:pPr>
      <w:r>
        <w:rPr>
          <w:rFonts w:hint="eastAsia" w:ascii="宋体" w:hAnsi="宋体" w:eastAsia="宋体" w:cs="宋体"/>
          <w:sz w:val="24"/>
          <w:szCs w:val="24"/>
        </w:rPr>
        <w:t>系统网址：</w:t>
      </w:r>
      <w:r>
        <w:fldChar w:fldCharType="begin"/>
      </w:r>
      <w:r>
        <w:instrText xml:space="preserve"> HYPERLINK "http://ecaitong.sinotruk.com:8012/" \t "dlt" </w:instrText>
      </w:r>
      <w:r>
        <w:fldChar w:fldCharType="separate"/>
      </w:r>
      <w:r>
        <w:rPr>
          <w:rStyle w:val="38"/>
          <w:rFonts w:hint="eastAsia" w:ascii="宋体" w:hAnsi="宋体" w:eastAsia="宋体" w:cs="宋体"/>
          <w:color w:val="auto"/>
          <w:sz w:val="24"/>
          <w:szCs w:val="24"/>
        </w:rPr>
        <w:t>https://ecaitong.sinotruk.com:8012/</w:t>
      </w:r>
      <w:r>
        <w:rPr>
          <w:rStyle w:val="38"/>
          <w:rFonts w:hint="eastAsia" w:ascii="宋体" w:hAnsi="宋体" w:eastAsia="宋体" w:cs="宋体"/>
          <w:color w:val="auto"/>
          <w:sz w:val="24"/>
          <w:szCs w:val="24"/>
        </w:rPr>
        <w:fldChar w:fldCharType="end"/>
      </w:r>
    </w:p>
    <w:p w14:paraId="2012D530">
      <w:pPr>
        <w:spacing w:line="360" w:lineRule="auto"/>
        <w:rPr>
          <w:rFonts w:ascii="宋体" w:hAnsi="宋体" w:eastAsia="宋体" w:cs="宋体"/>
          <w:sz w:val="24"/>
          <w:szCs w:val="24"/>
        </w:rPr>
      </w:pPr>
      <w:r>
        <w:rPr>
          <w:rFonts w:hint="eastAsia" w:ascii="宋体" w:hAnsi="宋体" w:eastAsia="宋体" w:cs="宋体"/>
          <w:sz w:val="24"/>
          <w:szCs w:val="24"/>
        </w:rPr>
        <w:t>用 户 名：gys+供应商代码（注意：注册完毕后，用户名不要用手机号登录）</w:t>
      </w:r>
    </w:p>
    <w:p w14:paraId="7A6B284C">
      <w:pPr>
        <w:spacing w:line="360" w:lineRule="auto"/>
        <w:rPr>
          <w:rFonts w:ascii="宋体" w:hAnsi="宋体" w:eastAsia="宋体" w:cs="宋体"/>
          <w:sz w:val="24"/>
          <w:szCs w:val="24"/>
        </w:rPr>
      </w:pPr>
      <w:r>
        <w:rPr>
          <w:rFonts w:hint="eastAsia" w:ascii="宋体" w:hAnsi="宋体" w:eastAsia="宋体" w:cs="宋体"/>
          <w:sz w:val="24"/>
          <w:szCs w:val="24"/>
        </w:rPr>
        <w:t>初始密码：scm@2022</w:t>
      </w:r>
    </w:p>
    <w:p w14:paraId="1E30A588">
      <w:pPr>
        <w:spacing w:line="360" w:lineRule="auto"/>
        <w:rPr>
          <w:rFonts w:ascii="宋体" w:hAnsi="宋体" w:eastAsia="宋体" w:cs="宋体"/>
          <w:b/>
          <w:bCs/>
          <w:sz w:val="24"/>
          <w:szCs w:val="24"/>
        </w:rPr>
      </w:pPr>
      <w:r>
        <w:rPr>
          <w:rFonts w:hint="eastAsia" w:ascii="宋体" w:hAnsi="宋体" w:eastAsia="宋体" w:cs="宋体"/>
          <w:b/>
          <w:bCs/>
          <w:sz w:val="24"/>
          <w:szCs w:val="24"/>
        </w:rPr>
        <w:t>1.供应商应标</w:t>
      </w:r>
    </w:p>
    <w:p w14:paraId="140891D9">
      <w:pPr>
        <w:spacing w:line="360" w:lineRule="auto"/>
        <w:rPr>
          <w:rFonts w:ascii="宋体" w:hAnsi="宋体" w:eastAsia="宋体" w:cs="宋体"/>
          <w:sz w:val="24"/>
          <w:szCs w:val="24"/>
        </w:rPr>
      </w:pPr>
      <w:r>
        <w:rPr>
          <w:rFonts w:ascii="宋体" w:hAnsi="宋体" w:eastAsia="宋体" w:cs="宋体"/>
          <w:sz w:val="24"/>
          <w:szCs w:val="24"/>
        </w:rPr>
        <w:t>路径：招投标中心</w:t>
      </w:r>
      <w:r>
        <w:rPr>
          <w:rFonts w:hint="eastAsia" w:ascii="宋体" w:hAnsi="宋体" w:eastAsia="宋体" w:cs="宋体"/>
          <w:sz w:val="24"/>
          <w:szCs w:val="24"/>
        </w:rPr>
        <w:t>-</w:t>
      </w:r>
      <w:r>
        <w:rPr>
          <w:rFonts w:ascii="宋体" w:hAnsi="宋体" w:eastAsia="宋体" w:cs="宋体"/>
          <w:sz w:val="24"/>
          <w:szCs w:val="24"/>
        </w:rPr>
        <w:t>非生产类招投标</w:t>
      </w:r>
      <w:r>
        <w:rPr>
          <w:rFonts w:hint="eastAsia" w:ascii="宋体" w:hAnsi="宋体" w:eastAsia="宋体" w:cs="宋体"/>
          <w:sz w:val="24"/>
          <w:szCs w:val="24"/>
        </w:rPr>
        <w:t>-</w:t>
      </w:r>
      <w:r>
        <w:rPr>
          <w:rFonts w:ascii="宋体" w:hAnsi="宋体" w:eastAsia="宋体" w:cs="宋体"/>
          <w:sz w:val="24"/>
          <w:szCs w:val="24"/>
        </w:rPr>
        <w:t>供应商应标</w:t>
      </w:r>
    </w:p>
    <w:p w14:paraId="5C22A13C">
      <w:pPr>
        <w:spacing w:line="360" w:lineRule="auto"/>
        <w:rPr>
          <w:rFonts w:ascii="宋体" w:hAnsi="宋体" w:eastAsia="宋体" w:cs="宋体"/>
          <w:sz w:val="24"/>
          <w:szCs w:val="24"/>
        </w:rPr>
      </w:pPr>
      <w:r>
        <w:rPr>
          <w:rFonts w:ascii="宋体" w:hAnsi="宋体" w:eastAsia="宋体" w:cs="宋体"/>
          <w:sz w:val="24"/>
          <w:szCs w:val="24"/>
        </w:rPr>
        <w:t>点击应标，上传文件之后点击提交。</w:t>
      </w:r>
    </w:p>
    <w:p w14:paraId="32B3BD19">
      <w:r>
        <w:drawing>
          <wp:inline distT="0" distB="0" distL="0" distR="0">
            <wp:extent cx="5760085" cy="2269490"/>
            <wp:effectExtent l="0" t="0" r="5715" b="3810"/>
            <wp:docPr id="25" name="picture" descr="descript"/>
            <wp:cNvGraphicFramePr/>
            <a:graphic xmlns:a="http://schemas.openxmlformats.org/drawingml/2006/main">
              <a:graphicData uri="http://schemas.openxmlformats.org/drawingml/2006/picture">
                <pic:pic xmlns:pic="http://schemas.openxmlformats.org/drawingml/2006/picture">
                  <pic:nvPicPr>
                    <pic:cNvPr id="25" name="picture" descr="descript"/>
                    <pic:cNvPicPr/>
                  </pic:nvPicPr>
                  <pic:blipFill>
                    <a:blip r:embed="rId20"/>
                    <a:stretch>
                      <a:fillRect/>
                    </a:stretch>
                  </pic:blipFill>
                  <pic:spPr>
                    <a:xfrm>
                      <a:off x="0" y="0"/>
                      <a:ext cx="5760085" cy="2269864"/>
                    </a:xfrm>
                    <a:prstGeom prst="rect">
                      <a:avLst/>
                    </a:prstGeom>
                  </pic:spPr>
                </pic:pic>
              </a:graphicData>
            </a:graphic>
          </wp:inline>
        </w:drawing>
      </w:r>
    </w:p>
    <w:p w14:paraId="2B6811F0"/>
    <w:p w14:paraId="0C5213E1">
      <w:pPr>
        <w:spacing w:line="360" w:lineRule="auto"/>
        <w:rPr>
          <w:rFonts w:ascii="宋体" w:hAnsi="宋体" w:eastAsia="宋体" w:cs="宋体"/>
          <w:b/>
          <w:bCs/>
          <w:sz w:val="24"/>
          <w:szCs w:val="24"/>
        </w:rPr>
      </w:pPr>
      <w:r>
        <w:rPr>
          <w:rFonts w:hint="eastAsia" w:ascii="宋体" w:hAnsi="宋体" w:eastAsia="宋体" w:cs="宋体"/>
          <w:b/>
          <w:bCs/>
          <w:sz w:val="24"/>
          <w:szCs w:val="24"/>
        </w:rPr>
        <w:t>2.供应商投标</w:t>
      </w:r>
    </w:p>
    <w:p w14:paraId="4FD2B7C7">
      <w:pPr>
        <w:spacing w:line="360" w:lineRule="auto"/>
        <w:rPr>
          <w:rFonts w:ascii="宋体" w:hAnsi="宋体" w:eastAsia="宋体" w:cs="宋体"/>
          <w:sz w:val="24"/>
          <w:szCs w:val="24"/>
        </w:rPr>
      </w:pPr>
      <w:r>
        <w:rPr>
          <w:rFonts w:ascii="宋体" w:hAnsi="宋体" w:eastAsia="宋体" w:cs="宋体"/>
          <w:sz w:val="24"/>
          <w:szCs w:val="24"/>
        </w:rPr>
        <w:t>路径：招投标中心</w:t>
      </w:r>
      <w:r>
        <w:rPr>
          <w:rFonts w:hint="eastAsia" w:ascii="宋体" w:hAnsi="宋体" w:eastAsia="宋体" w:cs="宋体"/>
          <w:sz w:val="24"/>
          <w:szCs w:val="24"/>
        </w:rPr>
        <w:t>-</w:t>
      </w:r>
      <w:r>
        <w:rPr>
          <w:rFonts w:ascii="宋体" w:hAnsi="宋体" w:eastAsia="宋体" w:cs="宋体"/>
          <w:sz w:val="24"/>
          <w:szCs w:val="24"/>
        </w:rPr>
        <w:t>非生产类招投标</w:t>
      </w:r>
      <w:r>
        <w:rPr>
          <w:rFonts w:hint="eastAsia" w:ascii="宋体" w:hAnsi="宋体" w:eastAsia="宋体" w:cs="宋体"/>
          <w:sz w:val="24"/>
          <w:szCs w:val="24"/>
        </w:rPr>
        <w:t>-</w:t>
      </w:r>
      <w:r>
        <w:rPr>
          <w:rFonts w:ascii="宋体" w:hAnsi="宋体" w:eastAsia="宋体" w:cs="宋体"/>
          <w:sz w:val="24"/>
          <w:szCs w:val="24"/>
        </w:rPr>
        <w:t>供应商投标</w:t>
      </w:r>
    </w:p>
    <w:p w14:paraId="0B055D9A">
      <w:pPr>
        <w:rPr>
          <w:rFonts w:ascii="宋体" w:hAnsi="宋体" w:eastAsia="宋体" w:cs="宋体"/>
        </w:rPr>
      </w:pPr>
      <w:r>
        <w:rPr>
          <w:rFonts w:ascii="宋体" w:hAnsi="宋体" w:eastAsia="宋体" w:cs="宋体"/>
        </w:rPr>
        <w:drawing>
          <wp:inline distT="0" distB="0" distL="0" distR="0">
            <wp:extent cx="5760085" cy="2125345"/>
            <wp:effectExtent l="0" t="0" r="5715" b="8255"/>
            <wp:docPr id="26" name="picture" descr="descript"/>
            <wp:cNvGraphicFramePr/>
            <a:graphic xmlns:a="http://schemas.openxmlformats.org/drawingml/2006/main">
              <a:graphicData uri="http://schemas.openxmlformats.org/drawingml/2006/picture">
                <pic:pic xmlns:pic="http://schemas.openxmlformats.org/drawingml/2006/picture">
                  <pic:nvPicPr>
                    <pic:cNvPr id="26" name="picture" descr="descript"/>
                    <pic:cNvPicPr/>
                  </pic:nvPicPr>
                  <pic:blipFill>
                    <a:blip r:embed="rId21"/>
                    <a:stretch>
                      <a:fillRect/>
                    </a:stretch>
                  </pic:blipFill>
                  <pic:spPr>
                    <a:xfrm>
                      <a:off x="0" y="0"/>
                      <a:ext cx="5760085" cy="2125673"/>
                    </a:xfrm>
                    <a:prstGeom prst="rect">
                      <a:avLst/>
                    </a:prstGeom>
                  </pic:spPr>
                </pic:pic>
              </a:graphicData>
            </a:graphic>
          </wp:inline>
        </w:drawing>
      </w:r>
    </w:p>
    <w:p w14:paraId="6F04B4AC">
      <w:pPr>
        <w:spacing w:line="360" w:lineRule="auto"/>
        <w:rPr>
          <w:rFonts w:ascii="宋体" w:hAnsi="宋体" w:eastAsia="宋体" w:cs="宋体"/>
          <w:sz w:val="24"/>
          <w:szCs w:val="28"/>
        </w:rPr>
      </w:pPr>
      <w:r>
        <w:rPr>
          <w:rFonts w:ascii="宋体" w:hAnsi="宋体" w:eastAsia="宋体" w:cs="宋体"/>
          <w:sz w:val="24"/>
          <w:szCs w:val="28"/>
        </w:rPr>
        <w:t>点击投标按钮，进入详情页，输入投标报价并上传相应的附件。</w:t>
      </w:r>
    </w:p>
    <w:p w14:paraId="42A6C585">
      <w:pPr>
        <w:pStyle w:val="15"/>
      </w:pPr>
      <w:r>
        <w:rPr>
          <w:rFonts w:hint="eastAsia" w:hAnsi="宋体" w:eastAsia="宋体" w:cs="宋体"/>
          <w:sz w:val="24"/>
          <w:szCs w:val="28"/>
          <w:highlight w:val="yellow"/>
        </w:rPr>
        <w:t>注意：系统内的投标报价单位为“万元”，如开标现场发现填错报价，即直接淘汰。</w:t>
      </w:r>
    </w:p>
    <w:p w14:paraId="726A8360">
      <w:pPr>
        <w:pStyle w:val="5"/>
        <w:ind w:left="425" w:hanging="425"/>
        <w:rPr>
          <w:rFonts w:eastAsia="Arial" w:cs="Arial"/>
        </w:rPr>
      </w:pPr>
      <w:r>
        <w:rPr>
          <w:rFonts w:eastAsia="Arial" w:cs="Arial"/>
        </w:rPr>
        <w:drawing>
          <wp:inline distT="0" distB="0" distL="0" distR="0">
            <wp:extent cx="5490210" cy="2668905"/>
            <wp:effectExtent l="0" t="0" r="8890" b="10795"/>
            <wp:docPr id="27" name="picture" descr="descript"/>
            <wp:cNvGraphicFramePr/>
            <a:graphic xmlns:a="http://schemas.openxmlformats.org/drawingml/2006/main">
              <a:graphicData uri="http://schemas.openxmlformats.org/drawingml/2006/picture">
                <pic:pic xmlns:pic="http://schemas.openxmlformats.org/drawingml/2006/picture">
                  <pic:nvPicPr>
                    <pic:cNvPr id="27" name="picture" descr="descript"/>
                    <pic:cNvPicPr/>
                  </pic:nvPicPr>
                  <pic:blipFill>
                    <a:blip r:embed="rId22"/>
                    <a:stretch>
                      <a:fillRect/>
                    </a:stretch>
                  </pic:blipFill>
                  <pic:spPr>
                    <a:xfrm>
                      <a:off x="0" y="0"/>
                      <a:ext cx="5490210" cy="2669498"/>
                    </a:xfrm>
                    <a:prstGeom prst="rect">
                      <a:avLst/>
                    </a:prstGeom>
                  </pic:spPr>
                </pic:pic>
              </a:graphicData>
            </a:graphic>
          </wp:inline>
        </w:drawing>
      </w:r>
    </w:p>
    <w:p w14:paraId="70B0A28F">
      <w:pPr>
        <w:spacing w:line="360" w:lineRule="auto"/>
        <w:rPr>
          <w:rFonts w:ascii="宋体" w:hAnsi="宋体" w:eastAsia="宋体" w:cs="宋体"/>
          <w:b/>
          <w:bCs/>
          <w:sz w:val="24"/>
          <w:szCs w:val="24"/>
        </w:rPr>
      </w:pPr>
      <w:r>
        <w:rPr>
          <w:rFonts w:hint="eastAsia" w:ascii="宋体" w:hAnsi="宋体" w:eastAsia="宋体" w:cs="宋体"/>
          <w:b/>
          <w:bCs/>
          <w:sz w:val="24"/>
          <w:szCs w:val="24"/>
        </w:rPr>
        <w:t>3.供应商技术标澄清函</w:t>
      </w:r>
    </w:p>
    <w:p w14:paraId="639CA6A3">
      <w:pPr>
        <w:spacing w:line="360" w:lineRule="auto"/>
        <w:rPr>
          <w:rFonts w:ascii="宋体" w:hAnsi="宋体" w:eastAsia="宋体" w:cs="宋体"/>
          <w:sz w:val="24"/>
          <w:szCs w:val="24"/>
        </w:rPr>
      </w:pPr>
      <w:r>
        <w:rPr>
          <w:rFonts w:ascii="宋体" w:hAnsi="宋体" w:eastAsia="宋体" w:cs="宋体"/>
          <w:sz w:val="24"/>
          <w:szCs w:val="24"/>
        </w:rPr>
        <w:t>路径：招投标中心</w:t>
      </w:r>
      <w:r>
        <w:rPr>
          <w:rFonts w:hint="eastAsia" w:ascii="宋体" w:hAnsi="宋体" w:eastAsia="宋体" w:cs="宋体"/>
          <w:sz w:val="24"/>
          <w:szCs w:val="24"/>
        </w:rPr>
        <w:t>-</w:t>
      </w:r>
      <w:r>
        <w:rPr>
          <w:rFonts w:ascii="宋体" w:hAnsi="宋体" w:eastAsia="宋体" w:cs="宋体"/>
          <w:sz w:val="24"/>
          <w:szCs w:val="24"/>
        </w:rPr>
        <w:t>非生产类招投标</w:t>
      </w:r>
      <w:r>
        <w:rPr>
          <w:rFonts w:hint="eastAsia" w:ascii="宋体" w:hAnsi="宋体" w:eastAsia="宋体" w:cs="宋体"/>
          <w:sz w:val="24"/>
          <w:szCs w:val="24"/>
        </w:rPr>
        <w:t>-</w:t>
      </w:r>
      <w:r>
        <w:rPr>
          <w:rFonts w:ascii="宋体" w:hAnsi="宋体" w:eastAsia="宋体" w:cs="宋体"/>
          <w:sz w:val="24"/>
          <w:szCs w:val="24"/>
        </w:rPr>
        <w:t>供应商技术标澄清函</w:t>
      </w:r>
    </w:p>
    <w:p w14:paraId="0FBE9047">
      <w:pPr>
        <w:spacing w:line="360" w:lineRule="auto"/>
        <w:rPr>
          <w:rFonts w:ascii="宋体" w:hAnsi="宋体" w:eastAsia="宋体" w:cs="宋体"/>
          <w:sz w:val="24"/>
          <w:szCs w:val="24"/>
        </w:rPr>
      </w:pPr>
      <w:r>
        <w:rPr>
          <w:rFonts w:ascii="宋体" w:hAnsi="宋体" w:eastAsia="宋体" w:cs="宋体"/>
          <w:sz w:val="24"/>
          <w:szCs w:val="24"/>
        </w:rPr>
        <w:t>点击编辑按钮进入系统，上传技术标澄清函。</w:t>
      </w:r>
    </w:p>
    <w:p w14:paraId="6E050A16">
      <w:pPr>
        <w:spacing w:line="360" w:lineRule="auto"/>
        <w:rPr>
          <w:rFonts w:ascii="Arial" w:hAnsi="Arial" w:eastAsia="Arial" w:cs="Arial"/>
          <w:sz w:val="28"/>
        </w:rPr>
      </w:pPr>
      <w:r>
        <w:rPr>
          <w:rFonts w:ascii="宋体" w:hAnsi="宋体" w:eastAsia="宋体" w:cs="宋体"/>
          <w:sz w:val="24"/>
          <w:szCs w:val="24"/>
        </w:rPr>
        <w:t>开标之后所有投标的供应商都可编辑提交，技术标入围之后</w:t>
      </w:r>
      <w:r>
        <w:rPr>
          <w:rFonts w:hint="eastAsia" w:ascii="宋体" w:hAnsi="宋体" w:eastAsia="宋体" w:cs="宋体"/>
          <w:sz w:val="24"/>
          <w:szCs w:val="24"/>
        </w:rPr>
        <w:t xml:space="preserve"> </w:t>
      </w:r>
      <w:r>
        <w:rPr>
          <w:rFonts w:ascii="宋体" w:hAnsi="宋体" w:eastAsia="宋体" w:cs="宋体"/>
          <w:sz w:val="24"/>
          <w:szCs w:val="24"/>
        </w:rPr>
        <w:t>都不可编辑</w:t>
      </w:r>
      <w:r>
        <w:rPr>
          <w:rFonts w:ascii="Arial" w:hAnsi="Arial" w:eastAsia="Arial" w:cs="Arial"/>
          <w:sz w:val="28"/>
        </w:rPr>
        <w:drawing>
          <wp:inline distT="0" distB="0" distL="0" distR="0">
            <wp:extent cx="5490210" cy="1992630"/>
            <wp:effectExtent l="0" t="0" r="8890" b="1270"/>
            <wp:docPr id="28" name="picture" descr="descript"/>
            <wp:cNvGraphicFramePr/>
            <a:graphic xmlns:a="http://schemas.openxmlformats.org/drawingml/2006/main">
              <a:graphicData uri="http://schemas.openxmlformats.org/drawingml/2006/picture">
                <pic:pic xmlns:pic="http://schemas.openxmlformats.org/drawingml/2006/picture">
                  <pic:nvPicPr>
                    <pic:cNvPr id="28" name="picture" descr="descript"/>
                    <pic:cNvPicPr/>
                  </pic:nvPicPr>
                  <pic:blipFill>
                    <a:blip r:embed="rId23"/>
                    <a:stretch>
                      <a:fillRect/>
                    </a:stretch>
                  </pic:blipFill>
                  <pic:spPr>
                    <a:xfrm>
                      <a:off x="0" y="0"/>
                      <a:ext cx="5490210" cy="1992743"/>
                    </a:xfrm>
                    <a:prstGeom prst="rect">
                      <a:avLst/>
                    </a:prstGeom>
                  </pic:spPr>
                </pic:pic>
              </a:graphicData>
            </a:graphic>
          </wp:inline>
        </w:drawing>
      </w:r>
    </w:p>
    <w:p w14:paraId="563C157E">
      <w:pPr>
        <w:spacing w:line="360" w:lineRule="auto"/>
        <w:rPr>
          <w:rFonts w:ascii="宋体" w:hAnsi="宋体" w:eastAsia="宋体" w:cs="宋体"/>
          <w:b/>
          <w:bCs/>
          <w:sz w:val="24"/>
          <w:szCs w:val="24"/>
        </w:rPr>
      </w:pPr>
      <w:r>
        <w:rPr>
          <w:rFonts w:hint="eastAsia" w:ascii="宋体" w:hAnsi="宋体" w:eastAsia="宋体" w:cs="宋体"/>
          <w:b/>
          <w:bCs/>
          <w:sz w:val="24"/>
          <w:szCs w:val="24"/>
        </w:rPr>
        <w:t>4.供应商报价</w:t>
      </w:r>
    </w:p>
    <w:p w14:paraId="1D54E7AC">
      <w:pPr>
        <w:spacing w:line="360" w:lineRule="auto"/>
        <w:rPr>
          <w:rFonts w:ascii="宋体" w:hAnsi="宋体" w:eastAsia="宋体" w:cs="宋体"/>
          <w:sz w:val="24"/>
          <w:szCs w:val="24"/>
        </w:rPr>
      </w:pPr>
      <w:r>
        <w:rPr>
          <w:rFonts w:ascii="宋体" w:hAnsi="宋体" w:eastAsia="宋体" w:cs="宋体"/>
          <w:sz w:val="24"/>
          <w:szCs w:val="24"/>
        </w:rPr>
        <w:t>路径：招投标中心</w:t>
      </w:r>
      <w:r>
        <w:rPr>
          <w:rFonts w:hint="eastAsia" w:ascii="宋体" w:hAnsi="宋体" w:eastAsia="宋体" w:cs="宋体"/>
          <w:sz w:val="24"/>
          <w:szCs w:val="24"/>
        </w:rPr>
        <w:t>-</w:t>
      </w:r>
      <w:r>
        <w:rPr>
          <w:rFonts w:ascii="宋体" w:hAnsi="宋体" w:eastAsia="宋体" w:cs="宋体"/>
          <w:sz w:val="24"/>
          <w:szCs w:val="24"/>
        </w:rPr>
        <w:t>非生产类招投标</w:t>
      </w:r>
      <w:r>
        <w:rPr>
          <w:rFonts w:hint="eastAsia" w:ascii="宋体" w:hAnsi="宋体" w:eastAsia="宋体" w:cs="宋体"/>
          <w:sz w:val="24"/>
          <w:szCs w:val="24"/>
        </w:rPr>
        <w:t>-</w:t>
      </w:r>
      <w:r>
        <w:rPr>
          <w:rFonts w:ascii="宋体" w:hAnsi="宋体" w:eastAsia="宋体" w:cs="宋体"/>
          <w:sz w:val="24"/>
          <w:szCs w:val="24"/>
        </w:rPr>
        <w:t>供应商报价</w:t>
      </w:r>
    </w:p>
    <w:p w14:paraId="6993B2B3">
      <w:pPr>
        <w:spacing w:line="360" w:lineRule="auto"/>
        <w:rPr>
          <w:rFonts w:ascii="宋体" w:hAnsi="宋体" w:eastAsia="宋体" w:cs="宋体"/>
          <w:sz w:val="24"/>
          <w:szCs w:val="24"/>
        </w:rPr>
      </w:pPr>
      <w:r>
        <w:rPr>
          <w:rFonts w:ascii="宋体" w:hAnsi="宋体" w:eastAsia="宋体" w:cs="宋体"/>
          <w:sz w:val="24"/>
          <w:szCs w:val="24"/>
        </w:rPr>
        <w:t>点击报价按钮进入报价详情界面，请在此轮报价起止时间内报价，否则无法报价。</w:t>
      </w:r>
    </w:p>
    <w:p w14:paraId="3C864356">
      <w:pPr>
        <w:spacing w:line="360" w:lineRule="auto"/>
        <w:rPr>
          <w:rFonts w:ascii="宋体" w:hAnsi="宋体" w:eastAsia="宋体" w:cs="宋体"/>
          <w:b/>
          <w:bCs/>
          <w:sz w:val="24"/>
          <w:szCs w:val="24"/>
        </w:rPr>
      </w:pPr>
      <w:r>
        <w:rPr>
          <w:rFonts w:hint="eastAsia" w:ascii="宋体" w:hAnsi="宋体" w:eastAsia="宋体" w:cs="宋体"/>
          <w:b/>
          <w:bCs/>
          <w:sz w:val="24"/>
          <w:szCs w:val="24"/>
        </w:rPr>
        <w:t>5.供应商澄清报价</w:t>
      </w:r>
    </w:p>
    <w:p w14:paraId="25C3C69B">
      <w:pPr>
        <w:spacing w:line="360" w:lineRule="auto"/>
        <w:rPr>
          <w:rFonts w:ascii="宋体" w:hAnsi="宋体" w:eastAsia="宋体" w:cs="宋体"/>
          <w:sz w:val="24"/>
          <w:szCs w:val="24"/>
        </w:rPr>
      </w:pPr>
      <w:r>
        <w:rPr>
          <w:rFonts w:ascii="宋体" w:hAnsi="宋体" w:eastAsia="宋体" w:cs="宋体"/>
          <w:sz w:val="24"/>
          <w:szCs w:val="24"/>
        </w:rPr>
        <w:t>路径：招投标中心</w:t>
      </w:r>
      <w:r>
        <w:rPr>
          <w:rFonts w:hint="eastAsia" w:ascii="宋体" w:hAnsi="宋体" w:eastAsia="宋体" w:cs="宋体"/>
          <w:sz w:val="24"/>
          <w:szCs w:val="24"/>
        </w:rPr>
        <w:t>-</w:t>
      </w:r>
      <w:r>
        <w:rPr>
          <w:rFonts w:ascii="宋体" w:hAnsi="宋体" w:eastAsia="宋体" w:cs="宋体"/>
          <w:sz w:val="24"/>
          <w:szCs w:val="24"/>
        </w:rPr>
        <w:t>非生产类招投标</w:t>
      </w:r>
      <w:r>
        <w:rPr>
          <w:rFonts w:hint="eastAsia" w:ascii="宋体" w:hAnsi="宋体" w:eastAsia="宋体" w:cs="宋体"/>
          <w:sz w:val="24"/>
          <w:szCs w:val="24"/>
        </w:rPr>
        <w:t>-</w:t>
      </w:r>
      <w:r>
        <w:rPr>
          <w:rFonts w:ascii="宋体" w:hAnsi="宋体" w:eastAsia="宋体" w:cs="宋体"/>
          <w:sz w:val="24"/>
          <w:szCs w:val="24"/>
        </w:rPr>
        <w:t>供应商澄清报价</w:t>
      </w:r>
    </w:p>
    <w:p w14:paraId="78DE335C">
      <w:pPr>
        <w:spacing w:line="360" w:lineRule="auto"/>
        <w:rPr>
          <w:rFonts w:ascii="宋体" w:hAnsi="宋体" w:eastAsia="宋体" w:cs="宋体"/>
          <w:sz w:val="24"/>
          <w:szCs w:val="24"/>
        </w:rPr>
      </w:pPr>
      <w:r>
        <w:rPr>
          <w:rFonts w:ascii="宋体" w:hAnsi="宋体" w:eastAsia="宋体" w:cs="宋体"/>
          <w:sz w:val="24"/>
          <w:szCs w:val="24"/>
        </w:rPr>
        <w:t>招标发起人接收建议价的同时会给供应商发送澄清报价，供应商在此界面进行澄清报价，点击编辑按钮进入澄清报价详细界面，输入价格并上传澄清函，之后点击提交。</w:t>
      </w:r>
    </w:p>
    <w:p w14:paraId="7466EC45">
      <w:pPr>
        <w:pStyle w:val="5"/>
        <w:ind w:left="425" w:hanging="425"/>
        <w:rPr>
          <w:rFonts w:eastAsia="Arial" w:cs="Arial"/>
        </w:rPr>
      </w:pPr>
      <w:r>
        <w:rPr>
          <w:rFonts w:eastAsia="Arial" w:cs="Arial"/>
        </w:rPr>
        <w:drawing>
          <wp:inline distT="0" distB="0" distL="0" distR="0">
            <wp:extent cx="5490210" cy="2544445"/>
            <wp:effectExtent l="0" t="0" r="8890" b="8255"/>
            <wp:docPr id="29" name="picture" descr="descript"/>
            <wp:cNvGraphicFramePr/>
            <a:graphic xmlns:a="http://schemas.openxmlformats.org/drawingml/2006/main">
              <a:graphicData uri="http://schemas.openxmlformats.org/drawingml/2006/picture">
                <pic:pic xmlns:pic="http://schemas.openxmlformats.org/drawingml/2006/picture">
                  <pic:nvPicPr>
                    <pic:cNvPr id="29" name="picture" descr="descript"/>
                    <pic:cNvPicPr/>
                  </pic:nvPicPr>
                  <pic:blipFill>
                    <a:blip r:embed="rId24"/>
                    <a:stretch>
                      <a:fillRect/>
                    </a:stretch>
                  </pic:blipFill>
                  <pic:spPr>
                    <a:xfrm>
                      <a:off x="0" y="0"/>
                      <a:ext cx="5490210" cy="2544669"/>
                    </a:xfrm>
                    <a:prstGeom prst="rect">
                      <a:avLst/>
                    </a:prstGeom>
                  </pic:spPr>
                </pic:pic>
              </a:graphicData>
            </a:graphic>
          </wp:inline>
        </w:drawing>
      </w:r>
    </w:p>
    <w:p w14:paraId="3662757A">
      <w:pPr>
        <w:spacing w:line="360" w:lineRule="auto"/>
        <w:rPr>
          <w:rFonts w:ascii="宋体" w:hAnsi="宋体" w:eastAsia="宋体" w:cs="宋体"/>
          <w:b/>
          <w:bCs/>
          <w:sz w:val="24"/>
          <w:szCs w:val="24"/>
        </w:rPr>
      </w:pPr>
      <w:r>
        <w:rPr>
          <w:rFonts w:hint="eastAsia" w:ascii="宋体" w:hAnsi="宋体" w:eastAsia="宋体" w:cs="宋体"/>
          <w:b/>
          <w:bCs/>
          <w:sz w:val="24"/>
          <w:szCs w:val="24"/>
        </w:rPr>
        <w:t>6.供应商查看中标通知</w:t>
      </w:r>
    </w:p>
    <w:p w14:paraId="77DC78CD">
      <w:pPr>
        <w:spacing w:line="360" w:lineRule="auto"/>
        <w:rPr>
          <w:rFonts w:ascii="宋体" w:hAnsi="宋体" w:eastAsia="宋体" w:cs="宋体"/>
          <w:sz w:val="24"/>
          <w:szCs w:val="24"/>
        </w:rPr>
      </w:pPr>
      <w:r>
        <w:rPr>
          <w:rFonts w:ascii="宋体" w:hAnsi="宋体" w:eastAsia="宋体" w:cs="宋体"/>
          <w:sz w:val="24"/>
          <w:szCs w:val="24"/>
        </w:rPr>
        <w:t>路径：招投标中心</w:t>
      </w:r>
      <w:r>
        <w:rPr>
          <w:rFonts w:hint="eastAsia" w:ascii="宋体" w:hAnsi="宋体" w:eastAsia="宋体" w:cs="宋体"/>
          <w:sz w:val="24"/>
          <w:szCs w:val="24"/>
        </w:rPr>
        <w:t>-</w:t>
      </w:r>
      <w:r>
        <w:rPr>
          <w:rFonts w:ascii="宋体" w:hAnsi="宋体" w:eastAsia="宋体" w:cs="宋体"/>
          <w:sz w:val="24"/>
          <w:szCs w:val="24"/>
        </w:rPr>
        <w:t>非生产类招投标</w:t>
      </w:r>
      <w:r>
        <w:rPr>
          <w:rFonts w:hint="eastAsia" w:ascii="宋体" w:hAnsi="宋体" w:eastAsia="宋体" w:cs="宋体"/>
          <w:sz w:val="24"/>
          <w:szCs w:val="24"/>
        </w:rPr>
        <w:t>-</w:t>
      </w:r>
      <w:r>
        <w:rPr>
          <w:rFonts w:ascii="宋体" w:hAnsi="宋体" w:eastAsia="宋体" w:cs="宋体"/>
          <w:sz w:val="24"/>
          <w:szCs w:val="24"/>
        </w:rPr>
        <w:t>中标项目</w:t>
      </w:r>
    </w:p>
    <w:p w14:paraId="6B077ACD">
      <w:pPr>
        <w:spacing w:line="360" w:lineRule="auto"/>
        <w:rPr>
          <w:rFonts w:ascii="宋体" w:hAnsi="宋体" w:eastAsia="宋体" w:cs="宋体"/>
          <w:sz w:val="24"/>
          <w:szCs w:val="24"/>
        </w:rPr>
      </w:pPr>
      <w:r>
        <w:rPr>
          <w:rFonts w:ascii="宋体" w:hAnsi="宋体" w:eastAsia="宋体" w:cs="宋体"/>
          <w:sz w:val="24"/>
          <w:szCs w:val="24"/>
        </w:rPr>
        <w:t>点击查看进入查看中标项目详情</w:t>
      </w:r>
    </w:p>
    <w:p w14:paraId="2ED7221F">
      <w:r>
        <w:drawing>
          <wp:inline distT="0" distB="0" distL="0" distR="0">
            <wp:extent cx="5760085" cy="1956435"/>
            <wp:effectExtent l="0" t="0" r="5715" b="12065"/>
            <wp:docPr id="30" name="picture" descr="descript"/>
            <wp:cNvGraphicFramePr/>
            <a:graphic xmlns:a="http://schemas.openxmlformats.org/drawingml/2006/main">
              <a:graphicData uri="http://schemas.openxmlformats.org/drawingml/2006/picture">
                <pic:pic xmlns:pic="http://schemas.openxmlformats.org/drawingml/2006/picture">
                  <pic:nvPicPr>
                    <pic:cNvPr id="30" name="picture" descr="descript"/>
                    <pic:cNvPicPr/>
                  </pic:nvPicPr>
                  <pic:blipFill>
                    <a:blip r:embed="rId25"/>
                    <a:stretch>
                      <a:fillRect/>
                    </a:stretch>
                  </pic:blipFill>
                  <pic:spPr>
                    <a:xfrm>
                      <a:off x="0" y="0"/>
                      <a:ext cx="5760085" cy="1956600"/>
                    </a:xfrm>
                    <a:prstGeom prst="rect">
                      <a:avLst/>
                    </a:prstGeom>
                  </pic:spPr>
                </pic:pic>
              </a:graphicData>
            </a:graphic>
          </wp:inline>
        </w:drawing>
      </w:r>
    </w:p>
    <w:p w14:paraId="41463205">
      <w:pPr>
        <w:pStyle w:val="76"/>
        <w:rPr>
          <w:rFonts w:hint="default" w:hAnsi="宋体"/>
          <w:sz w:val="24"/>
          <w:lang w:val="en-US"/>
        </w:rPr>
      </w:pPr>
    </w:p>
    <w:sectPr>
      <w:headerReference r:id="rId7" w:type="first"/>
      <w:footerReference r:id="rId8" w:type="first"/>
      <w:pgSz w:w="11906" w:h="16838"/>
      <w:pgMar w:top="1701" w:right="1418" w:bottom="1134" w:left="1418" w:header="851" w:footer="992" w:gutter="0"/>
      <w:pgNumType w:fmt="numberInDash" w:start="1"/>
      <w:cols w:space="720" w:num="1"/>
      <w:titlePg/>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等线 Light">
    <w:panose1 w:val="02010600030101010101"/>
    <w:charset w:val="86"/>
    <w:family w:val="auto"/>
    <w:pitch w:val="default"/>
    <w:sig w:usb0="A00002BF" w:usb1="38CF7CFA" w:usb2="00000016" w:usb3="00000000" w:csb0="0004000F" w:csb1="00000000"/>
  </w:font>
  <w:font w:name="仿宋_GB2312">
    <w:altName w:val="仿宋"/>
    <w:panose1 w:val="02010609030101010101"/>
    <w:charset w:val="86"/>
    <w:family w:val="modern"/>
    <w:pitch w:val="default"/>
    <w:sig w:usb0="00000000" w:usb1="00000000" w:usb2="00000000" w:usb3="00000000" w:csb0="00040000" w:csb1="00000000"/>
  </w:font>
  <w:font w:name="仿宋">
    <w:panose1 w:val="02010609060101010101"/>
    <w:charset w:val="86"/>
    <w:family w:val="auto"/>
    <w:pitch w:val="default"/>
    <w:sig w:usb0="800002BF" w:usb1="38CF7CFA" w:usb2="00000016" w:usb3="00000000" w:csb0="00040001" w:csb1="00000000"/>
  </w:font>
  <w:font w:name="Cambria">
    <w:panose1 w:val="02040503050406030204"/>
    <w:charset w:val="00"/>
    <w:family w:val="roman"/>
    <w:pitch w:val="default"/>
    <w:sig w:usb0="E00006FF" w:usb1="420024FF" w:usb2="02000000" w:usb3="00000000" w:csb0="2000019F" w:csb1="00000000"/>
  </w:font>
  <w:font w:name="Verdana">
    <w:panose1 w:val="020B0604030504040204"/>
    <w:charset w:val="00"/>
    <w:family w:val="swiss"/>
    <w:pitch w:val="default"/>
    <w:sig w:usb0="A00006FF" w:usb1="4000205B" w:usb2="00000010" w:usb3="00000000" w:csb0="2000019F" w:csb1="00000000"/>
  </w:font>
  <w:font w:name="ˎ̥">
    <w:altName w:val="Times New Roman"/>
    <w:panose1 w:val="00000000000000000000"/>
    <w:charset w:val="00"/>
    <w:family w:val="roman"/>
    <w:pitch w:val="default"/>
    <w:sig w:usb0="00000000" w:usb1="00000000" w:usb2="00000000" w:usb3="00000000" w:csb0="00040001" w:csb1="00000000"/>
  </w:font>
  <w:font w:name="Tahoma">
    <w:panose1 w:val="020B0604030504040204"/>
    <w:charset w:val="00"/>
    <w:family w:val="swiss"/>
    <w:pitch w:val="default"/>
    <w:sig w:usb0="E1002EFF" w:usb1="C000605B" w:usb2="00000029" w:usb3="00000000" w:csb0="200101FF" w:csb1="20280000"/>
  </w:font>
  <w:font w:name="Microsoft YaHei UI">
    <w:panose1 w:val="020B0503020204020204"/>
    <w:charset w:val="86"/>
    <w:family w:val="swiss"/>
    <w:pitch w:val="default"/>
    <w:sig w:usb0="80000287" w:usb1="2ACF3C50" w:usb2="00000016" w:usb3="00000000" w:csb0="0004001F" w:csb1="00000000"/>
  </w:font>
  <w:font w:name="楷体_GB2312">
    <w:altName w:val="楷体"/>
    <w:panose1 w:val="00000000000000000000"/>
    <w:charset w:val="86"/>
    <w:family w:val="modern"/>
    <w:pitch w:val="default"/>
    <w:sig w:usb0="00000000" w:usb1="00000000" w:usb2="00000016" w:usb3="00000000" w:csb0="00040001" w:csb1="00000000"/>
  </w:font>
  <w:font w:name="楷体">
    <w:panose1 w:val="02010609060101010101"/>
    <w:charset w:val="86"/>
    <w:family w:val="auto"/>
    <w:pitch w:val="default"/>
    <w:sig w:usb0="800002BF" w:usb1="38CF7CFA" w:usb2="00000016" w:usb3="00000000" w:csb0="00040001" w:csb1="00000000"/>
  </w:font>
  <w:font w:name="等线">
    <w:panose1 w:val="02010600030101010101"/>
    <w:charset w:val="86"/>
    <w:family w:val="auto"/>
    <w:pitch w:val="default"/>
    <w:sig w:usb0="A00002BF" w:usb1="38CF7CFA" w:usb2="00000016" w:usb3="00000000" w:csb0="0004000F" w:csb1="00000000"/>
  </w:font>
  <w:font w:name="微软雅黑">
    <w:panose1 w:val="020B0503020204020204"/>
    <w:charset w:val="86"/>
    <w:family w:val="swiss"/>
    <w:pitch w:val="default"/>
    <w:sig w:usb0="80000287" w:usb1="2ACF3C50" w:usb2="00000016" w:usb3="00000000" w:csb0="0004001F" w:csb1="00000000"/>
  </w:font>
  <w:font w:name="KSOFF9CBECC6">
    <w:panose1 w:val="02010609060101010101"/>
    <w:charset w:val="86"/>
    <w:family w:val="auto"/>
    <w:pitch w:val="default"/>
    <w:sig w:usb0="00000001" w:usb1="00000000" w:usb2="00000000" w:usb3="00000000" w:csb0="00040001" w:csb1="00000000"/>
  </w:font>
  <w:font w:name="KSOFE44F9426">
    <w:panose1 w:val="02010609060101010101"/>
    <w:charset w:val="86"/>
    <w:family w:val="auto"/>
    <w:pitch w:val="default"/>
    <w:sig w:usb0="00000001" w:usb1="00000000" w:usb2="00000000"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698291327"/>
    </w:sdtPr>
    <w:sdtContent>
      <w:p w14:paraId="10E4B243">
        <w:pPr>
          <w:pStyle w:val="19"/>
          <w:jc w:val="center"/>
          <w:rPr>
            <w:sz w:val="21"/>
            <w:szCs w:val="20"/>
          </w:rPr>
        </w:pPr>
        <w:r>
          <w:rPr>
            <w:rFonts w:hint="eastAsia"/>
            <w:lang w:val="zh-CN"/>
          </w:rPr>
          <w:t>第</w:t>
        </w:r>
        <w:r>
          <w:rPr>
            <w:lang w:val="zh-CN"/>
          </w:rPr>
          <w:fldChar w:fldCharType="begin"/>
        </w:r>
        <w:r>
          <w:rPr>
            <w:lang w:val="zh-CN"/>
          </w:rPr>
          <w:instrText xml:space="preserve">PAGE</w:instrText>
        </w:r>
        <w:r>
          <w:rPr>
            <w:lang w:val="zh-CN"/>
          </w:rPr>
          <w:fldChar w:fldCharType="separate"/>
        </w:r>
        <w:r>
          <w:rPr>
            <w:lang w:val="zh-CN"/>
          </w:rPr>
          <w:t>- 18 -</w:t>
        </w:r>
        <w:r>
          <w:rPr>
            <w:lang w:val="zh-CN"/>
          </w:rPr>
          <w:fldChar w:fldCharType="end"/>
        </w:r>
        <w:r>
          <w:rPr>
            <w:rFonts w:hint="eastAsia"/>
            <w:lang w:val="zh-CN"/>
          </w:rPr>
          <w:t>页，共</w:t>
        </w:r>
        <w:r>
          <w:rPr>
            <w:lang w:val="zh-CN"/>
          </w:rPr>
          <w:fldChar w:fldCharType="begin"/>
        </w:r>
        <w:r>
          <w:rPr>
            <w:lang w:val="zh-CN"/>
          </w:rPr>
          <w:instrText xml:space="preserve">NUMPAGES</w:instrText>
        </w:r>
        <w:r>
          <w:rPr>
            <w:lang w:val="zh-CN"/>
          </w:rPr>
          <w:fldChar w:fldCharType="separate"/>
        </w:r>
        <w:r>
          <w:rPr>
            <w:lang w:val="zh-CN"/>
          </w:rPr>
          <w:t>32</w:t>
        </w:r>
        <w:r>
          <w:rPr>
            <w:lang w:val="zh-CN"/>
          </w:rPr>
          <w:fldChar w:fldCharType="end"/>
        </w:r>
        <w:r>
          <w:rPr>
            <w:rFonts w:hint="eastAsia"/>
            <w:lang w:val="zh-CN"/>
          </w:rPr>
          <w:t>页</w:t>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1851DC9">
    <w:pPr>
      <w:pStyle w:val="19"/>
      <w:framePr w:wrap="around" w:vAnchor="text" w:hAnchor="margin" w:xAlign="center" w:y="1"/>
      <w:rPr>
        <w:rStyle w:val="35"/>
      </w:rPr>
    </w:pPr>
    <w:r>
      <w:fldChar w:fldCharType="begin"/>
    </w:r>
    <w:r>
      <w:rPr>
        <w:rStyle w:val="35"/>
      </w:rPr>
      <w:instrText xml:space="preserve">PAGE  </w:instrText>
    </w:r>
    <w:r>
      <w:fldChar w:fldCharType="end"/>
    </w:r>
  </w:p>
  <w:p w14:paraId="7AD47F75">
    <w:pPr>
      <w:pStyle w:val="19"/>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A03BF48">
    <w:pPr>
      <w:pStyle w:val="19"/>
      <w:jc w:val="cen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968472429"/>
    </w:sdtPr>
    <w:sdtContent>
      <w:sdt>
        <w:sdtPr>
          <w:id w:val="1728636285"/>
        </w:sdtPr>
        <w:sdtContent>
          <w:p w14:paraId="2F4AD690">
            <w:pPr>
              <w:pStyle w:val="19"/>
              <w:jc w:val="center"/>
            </w:pPr>
            <w:r>
              <w:rPr>
                <w:rFonts w:hint="eastAsia"/>
                <w:lang w:val="zh-CN"/>
              </w:rPr>
              <w:t>第</w:t>
            </w:r>
            <w:r>
              <w:rPr>
                <w:lang w:val="zh-CN"/>
              </w:rPr>
              <w:fldChar w:fldCharType="begin"/>
            </w:r>
            <w:r>
              <w:rPr>
                <w:lang w:val="zh-CN"/>
              </w:rPr>
              <w:instrText xml:space="preserve">PAGE</w:instrText>
            </w:r>
            <w:r>
              <w:rPr>
                <w:lang w:val="zh-CN"/>
              </w:rPr>
              <w:fldChar w:fldCharType="separate"/>
            </w:r>
            <w:r>
              <w:rPr>
                <w:lang w:val="zh-CN"/>
              </w:rPr>
              <w:t>- 1 -</w:t>
            </w:r>
            <w:r>
              <w:rPr>
                <w:lang w:val="zh-CN"/>
              </w:rPr>
              <w:fldChar w:fldCharType="end"/>
            </w:r>
            <w:r>
              <w:rPr>
                <w:rFonts w:hint="eastAsia"/>
                <w:lang w:val="zh-CN"/>
              </w:rPr>
              <w:t>页，共</w:t>
            </w:r>
            <w:r>
              <w:rPr>
                <w:lang w:val="zh-CN"/>
              </w:rPr>
              <w:fldChar w:fldCharType="begin"/>
            </w:r>
            <w:r>
              <w:rPr>
                <w:lang w:val="zh-CN"/>
              </w:rPr>
              <w:instrText xml:space="preserve">NUMPAGES</w:instrText>
            </w:r>
            <w:r>
              <w:rPr>
                <w:lang w:val="zh-CN"/>
              </w:rPr>
              <w:fldChar w:fldCharType="separate"/>
            </w:r>
            <w:r>
              <w:rPr>
                <w:lang w:val="zh-CN"/>
              </w:rPr>
              <w:t>32</w:t>
            </w:r>
            <w:r>
              <w:rPr>
                <w:lang w:val="zh-CN"/>
              </w:rPr>
              <w:fldChar w:fldCharType="end"/>
            </w:r>
            <w:r>
              <w:rPr>
                <w:rFonts w:hint="eastAsia"/>
                <w:lang w:val="zh-CN"/>
              </w:rPr>
              <w:t>页</w:t>
            </w:r>
          </w:p>
        </w:sdtContent>
      </w:sdt>
    </w:sdtContent>
  </w:sdt>
  <w:p w14:paraId="651627BB">
    <w:pPr>
      <w:pStyle w:val="19"/>
      <w:jc w:val="center"/>
    </w:pPr>
  </w:p>
  <w:p w14:paraId="1DFF0D79"/>
  <w:p w14:paraId="5CB49AF2"/>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A8A41F0">
    <w:pPr>
      <w:pStyle w:val="20"/>
      <w:ind w:firstLine="360"/>
      <w:jc w:val="right"/>
    </w:pPr>
    <w:r>
      <w:rPr>
        <w:rFonts w:hint="eastAsia"/>
      </w:rPr>
      <w:t>中国重型汽车集团*</w:t>
    </w:r>
    <w:r>
      <w:t>*****</w:t>
    </w:r>
    <w:r>
      <w:rPr>
        <w:rFonts w:hint="eastAsia"/>
      </w:rPr>
      <w:t>采购项目招标书</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60C2086"/>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370076E"/>
    <w:multiLevelType w:val="singleLevel"/>
    <w:tmpl w:val="8370076E"/>
    <w:lvl w:ilvl="0" w:tentative="0">
      <w:start w:val="1"/>
      <w:numFmt w:val="chineseCounting"/>
      <w:suff w:val="nothing"/>
      <w:lvlText w:val="（%1）"/>
      <w:lvlJc w:val="left"/>
      <w:pPr>
        <w:ind w:left="0" w:firstLine="420"/>
      </w:pPr>
      <w:rPr>
        <w:rFonts w:hint="eastAsia"/>
      </w:rPr>
    </w:lvl>
  </w:abstractNum>
  <w:abstractNum w:abstractNumId="1">
    <w:nsid w:val="863E6579"/>
    <w:multiLevelType w:val="singleLevel"/>
    <w:tmpl w:val="863E6579"/>
    <w:lvl w:ilvl="0" w:tentative="0">
      <w:start w:val="1"/>
      <w:numFmt w:val="decimal"/>
      <w:lvlText w:val="(%1)"/>
      <w:lvlJc w:val="left"/>
      <w:pPr>
        <w:ind w:left="425" w:hanging="425"/>
      </w:pPr>
      <w:rPr>
        <w:rFonts w:hint="default"/>
        <w:b w:val="0"/>
        <w:bCs w:val="0"/>
        <w:color w:val="auto"/>
      </w:rPr>
    </w:lvl>
  </w:abstractNum>
  <w:abstractNum w:abstractNumId="2">
    <w:nsid w:val="93852671"/>
    <w:multiLevelType w:val="singleLevel"/>
    <w:tmpl w:val="93852671"/>
    <w:lvl w:ilvl="0" w:tentative="0">
      <w:start w:val="1"/>
      <w:numFmt w:val="decimal"/>
      <w:lvlText w:val="%1."/>
      <w:lvlJc w:val="left"/>
      <w:pPr>
        <w:ind w:left="425" w:hanging="425"/>
      </w:pPr>
      <w:rPr>
        <w:rFonts w:hint="default"/>
      </w:rPr>
    </w:lvl>
  </w:abstractNum>
  <w:abstractNum w:abstractNumId="3">
    <w:nsid w:val="9E1BA4F3"/>
    <w:multiLevelType w:val="singleLevel"/>
    <w:tmpl w:val="9E1BA4F3"/>
    <w:lvl w:ilvl="0" w:tentative="0">
      <w:start w:val="1"/>
      <w:numFmt w:val="decimal"/>
      <w:lvlText w:val="%1."/>
      <w:lvlJc w:val="left"/>
      <w:pPr>
        <w:tabs>
          <w:tab w:val="left" w:pos="312"/>
        </w:tabs>
      </w:pPr>
      <w:rPr>
        <w:rFonts w:hint="default" w:ascii="宋体" w:hAnsi="宋体" w:eastAsia="宋体" w:cs="宋体"/>
        <w:sz w:val="21"/>
        <w:szCs w:val="21"/>
      </w:rPr>
    </w:lvl>
  </w:abstractNum>
  <w:abstractNum w:abstractNumId="4">
    <w:nsid w:val="B12C4597"/>
    <w:multiLevelType w:val="singleLevel"/>
    <w:tmpl w:val="B12C4597"/>
    <w:lvl w:ilvl="0" w:tentative="0">
      <w:start w:val="1"/>
      <w:numFmt w:val="decimal"/>
      <w:lvlText w:val="%1."/>
      <w:lvlJc w:val="left"/>
      <w:pPr>
        <w:ind w:left="425" w:hanging="425"/>
      </w:pPr>
      <w:rPr>
        <w:rFonts w:hint="default"/>
      </w:rPr>
    </w:lvl>
  </w:abstractNum>
  <w:abstractNum w:abstractNumId="5">
    <w:nsid w:val="B301A340"/>
    <w:multiLevelType w:val="singleLevel"/>
    <w:tmpl w:val="B301A340"/>
    <w:lvl w:ilvl="0" w:tentative="0">
      <w:start w:val="1"/>
      <w:numFmt w:val="chineseCounting"/>
      <w:suff w:val="nothing"/>
      <w:lvlText w:val="（%1）"/>
      <w:lvlJc w:val="left"/>
      <w:pPr>
        <w:ind w:left="0" w:firstLine="420"/>
      </w:pPr>
      <w:rPr>
        <w:rFonts w:hint="eastAsia"/>
      </w:rPr>
    </w:lvl>
  </w:abstractNum>
  <w:abstractNum w:abstractNumId="6">
    <w:nsid w:val="BD4C6742"/>
    <w:multiLevelType w:val="singleLevel"/>
    <w:tmpl w:val="BD4C6742"/>
    <w:lvl w:ilvl="0" w:tentative="0">
      <w:start w:val="1"/>
      <w:numFmt w:val="decimal"/>
      <w:lvlText w:val="%1."/>
      <w:lvlJc w:val="left"/>
      <w:pPr>
        <w:ind w:left="425" w:hanging="425"/>
      </w:pPr>
      <w:rPr>
        <w:rFonts w:hint="default"/>
      </w:rPr>
    </w:lvl>
  </w:abstractNum>
  <w:abstractNum w:abstractNumId="7">
    <w:nsid w:val="CA70C5AE"/>
    <w:multiLevelType w:val="singleLevel"/>
    <w:tmpl w:val="CA70C5AE"/>
    <w:lvl w:ilvl="0" w:tentative="0">
      <w:start w:val="1"/>
      <w:numFmt w:val="decimal"/>
      <w:lvlText w:val="%1."/>
      <w:lvlJc w:val="left"/>
      <w:pPr>
        <w:ind w:left="425" w:hanging="425"/>
      </w:pPr>
      <w:rPr>
        <w:rFonts w:hint="default"/>
      </w:rPr>
    </w:lvl>
  </w:abstractNum>
  <w:abstractNum w:abstractNumId="8">
    <w:nsid w:val="D9A4530E"/>
    <w:multiLevelType w:val="singleLevel"/>
    <w:tmpl w:val="D9A4530E"/>
    <w:lvl w:ilvl="0" w:tentative="0">
      <w:start w:val="1"/>
      <w:numFmt w:val="decimal"/>
      <w:lvlText w:val="(%1)"/>
      <w:lvlJc w:val="left"/>
      <w:pPr>
        <w:ind w:left="425" w:hanging="425"/>
      </w:pPr>
      <w:rPr>
        <w:rFonts w:hint="default"/>
      </w:rPr>
    </w:lvl>
  </w:abstractNum>
  <w:abstractNum w:abstractNumId="9">
    <w:nsid w:val="DC3F8C8B"/>
    <w:multiLevelType w:val="singleLevel"/>
    <w:tmpl w:val="DC3F8C8B"/>
    <w:lvl w:ilvl="0" w:tentative="0">
      <w:start w:val="1"/>
      <w:numFmt w:val="decimal"/>
      <w:lvlText w:val="%1."/>
      <w:lvlJc w:val="left"/>
      <w:pPr>
        <w:ind w:left="425" w:hanging="425"/>
      </w:pPr>
      <w:rPr>
        <w:rFonts w:hint="default"/>
      </w:rPr>
    </w:lvl>
  </w:abstractNum>
  <w:abstractNum w:abstractNumId="10">
    <w:nsid w:val="E1D4A08F"/>
    <w:multiLevelType w:val="singleLevel"/>
    <w:tmpl w:val="E1D4A08F"/>
    <w:lvl w:ilvl="0" w:tentative="0">
      <w:start w:val="1"/>
      <w:numFmt w:val="decimal"/>
      <w:suff w:val="nothing"/>
      <w:lvlText w:val="%1、"/>
      <w:lvlJc w:val="left"/>
      <w:pPr>
        <w:ind w:left="560" w:leftChars="0" w:firstLine="0" w:firstLineChars="0"/>
      </w:pPr>
    </w:lvl>
  </w:abstractNum>
  <w:abstractNum w:abstractNumId="11">
    <w:nsid w:val="FE574647"/>
    <w:multiLevelType w:val="multilevel"/>
    <w:tmpl w:val="FE574647"/>
    <w:lvl w:ilvl="0" w:tentative="0">
      <w:start w:val="1"/>
      <w:numFmt w:val="bullet"/>
      <w:lvlText w:val=""/>
      <w:lvlJc w:val="left"/>
      <w:pPr>
        <w:tabs>
          <w:tab w:val="left" w:pos="-840"/>
        </w:tabs>
        <w:ind w:left="430" w:hanging="420"/>
      </w:pPr>
      <w:rPr>
        <w:rFonts w:hint="default" w:ascii="Wingdings" w:hAnsi="Wingdings"/>
      </w:rPr>
    </w:lvl>
    <w:lvl w:ilvl="1" w:tentative="0">
      <w:start w:val="1"/>
      <w:numFmt w:val="bullet"/>
      <w:lvlText w:val=""/>
      <w:lvlJc w:val="left"/>
      <w:pPr>
        <w:tabs>
          <w:tab w:val="left" w:pos="-840"/>
        </w:tabs>
        <w:ind w:left="850" w:hanging="420"/>
      </w:pPr>
      <w:rPr>
        <w:rFonts w:hint="default" w:ascii="Wingdings" w:hAnsi="Wingdings"/>
      </w:rPr>
    </w:lvl>
    <w:lvl w:ilvl="2" w:tentative="0">
      <w:start w:val="1"/>
      <w:numFmt w:val="bullet"/>
      <w:lvlText w:val=""/>
      <w:lvlJc w:val="left"/>
      <w:pPr>
        <w:tabs>
          <w:tab w:val="left" w:pos="-840"/>
        </w:tabs>
        <w:ind w:left="1270" w:hanging="420"/>
      </w:pPr>
      <w:rPr>
        <w:rFonts w:hint="default" w:ascii="Wingdings" w:hAnsi="Wingdings"/>
      </w:rPr>
    </w:lvl>
    <w:lvl w:ilvl="3" w:tentative="0">
      <w:start w:val="1"/>
      <w:numFmt w:val="bullet"/>
      <w:lvlText w:val=""/>
      <w:lvlJc w:val="left"/>
      <w:pPr>
        <w:tabs>
          <w:tab w:val="left" w:pos="-840"/>
        </w:tabs>
        <w:ind w:left="1690" w:hanging="420"/>
      </w:pPr>
      <w:rPr>
        <w:rFonts w:hint="default" w:ascii="Wingdings" w:hAnsi="Wingdings"/>
      </w:rPr>
    </w:lvl>
    <w:lvl w:ilvl="4" w:tentative="0">
      <w:start w:val="1"/>
      <w:numFmt w:val="bullet"/>
      <w:lvlText w:val=""/>
      <w:lvlJc w:val="left"/>
      <w:pPr>
        <w:tabs>
          <w:tab w:val="left" w:pos="-840"/>
        </w:tabs>
        <w:ind w:left="2110" w:hanging="420"/>
      </w:pPr>
      <w:rPr>
        <w:rFonts w:hint="default" w:ascii="Wingdings" w:hAnsi="Wingdings"/>
      </w:rPr>
    </w:lvl>
    <w:lvl w:ilvl="5" w:tentative="0">
      <w:start w:val="1"/>
      <w:numFmt w:val="bullet"/>
      <w:lvlText w:val=""/>
      <w:lvlJc w:val="left"/>
      <w:pPr>
        <w:tabs>
          <w:tab w:val="left" w:pos="-840"/>
        </w:tabs>
        <w:ind w:left="2530" w:hanging="420"/>
      </w:pPr>
      <w:rPr>
        <w:rFonts w:hint="default" w:ascii="Wingdings" w:hAnsi="Wingdings"/>
      </w:rPr>
    </w:lvl>
    <w:lvl w:ilvl="6" w:tentative="0">
      <w:start w:val="1"/>
      <w:numFmt w:val="bullet"/>
      <w:lvlText w:val=""/>
      <w:lvlJc w:val="left"/>
      <w:pPr>
        <w:tabs>
          <w:tab w:val="left" w:pos="-840"/>
        </w:tabs>
        <w:ind w:left="2950" w:hanging="420"/>
      </w:pPr>
      <w:rPr>
        <w:rFonts w:hint="default" w:ascii="Wingdings" w:hAnsi="Wingdings"/>
      </w:rPr>
    </w:lvl>
    <w:lvl w:ilvl="7" w:tentative="0">
      <w:start w:val="1"/>
      <w:numFmt w:val="bullet"/>
      <w:lvlText w:val=""/>
      <w:lvlJc w:val="left"/>
      <w:pPr>
        <w:tabs>
          <w:tab w:val="left" w:pos="-840"/>
        </w:tabs>
        <w:ind w:left="3370" w:hanging="420"/>
      </w:pPr>
      <w:rPr>
        <w:rFonts w:hint="default" w:ascii="Wingdings" w:hAnsi="Wingdings"/>
      </w:rPr>
    </w:lvl>
    <w:lvl w:ilvl="8" w:tentative="0">
      <w:start w:val="1"/>
      <w:numFmt w:val="bullet"/>
      <w:lvlText w:val=""/>
      <w:lvlJc w:val="left"/>
      <w:pPr>
        <w:tabs>
          <w:tab w:val="left" w:pos="-840"/>
        </w:tabs>
        <w:ind w:left="3790" w:hanging="420"/>
      </w:pPr>
      <w:rPr>
        <w:rFonts w:hint="default" w:ascii="Wingdings" w:hAnsi="Wingdings"/>
      </w:rPr>
    </w:lvl>
  </w:abstractNum>
  <w:abstractNum w:abstractNumId="12">
    <w:nsid w:val="06882CE3"/>
    <w:multiLevelType w:val="multilevel"/>
    <w:tmpl w:val="06882CE3"/>
    <w:lvl w:ilvl="0" w:tentative="0">
      <w:start w:val="1"/>
      <w:numFmt w:val="decimal"/>
      <w:pStyle w:val="75"/>
      <w:suff w:val="nothing"/>
      <w:lvlText w:val="（%1）"/>
      <w:lvlJc w:val="left"/>
      <w:pPr>
        <w:ind w:left="1270" w:hanging="420"/>
      </w:pPr>
      <w:rPr>
        <w:b w:val="0"/>
        <w:bCs w:val="0"/>
        <w:i w:val="0"/>
        <w:iCs w:val="0"/>
        <w:caps w:val="0"/>
        <w:smallCaps w:val="0"/>
        <w:strike w:val="0"/>
        <w:dstrike w:val="0"/>
        <w:outline w:val="0"/>
        <w:shadow w:val="0"/>
        <w:emboss w:val="0"/>
        <w:imprint w:val="0"/>
        <w:vanish w:val="0"/>
        <w:spacing w:val="0"/>
        <w:position w:val="0"/>
        <w:u w:val="none"/>
        <w:vertAlign w:val="baseline"/>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props3d w14:extrusionH="0" w14:contourW="0" w14:prstMaterial="none"/>
        <w14:scene3d>
          <w14:lightRig w14:rig="threePt" w14:dir="t">
            <w14:rot w14:lat="0" w14:lon="0" w14:rev="0"/>
          </w14:lightRig>
        </w14:scene3d>
        <w14:ligatures w14:val="none"/>
        <w14:numForm w14:val="default"/>
        <w14:numSpacing w14:val="default"/>
      </w:rPr>
    </w:lvl>
    <w:lvl w:ilvl="1" w:tentative="0">
      <w:start w:val="1"/>
      <w:numFmt w:val="lowerLetter"/>
      <w:lvlText w:val="%2)"/>
      <w:lvlJc w:val="left"/>
      <w:pPr>
        <w:ind w:left="1254" w:hanging="420"/>
      </w:pPr>
    </w:lvl>
    <w:lvl w:ilvl="2" w:tentative="0">
      <w:start w:val="1"/>
      <w:numFmt w:val="lowerRoman"/>
      <w:lvlText w:val="%3."/>
      <w:lvlJc w:val="right"/>
      <w:pPr>
        <w:ind w:left="1674" w:hanging="420"/>
      </w:pPr>
    </w:lvl>
    <w:lvl w:ilvl="3" w:tentative="0">
      <w:start w:val="1"/>
      <w:numFmt w:val="decimal"/>
      <w:lvlText w:val="%4."/>
      <w:lvlJc w:val="left"/>
      <w:pPr>
        <w:ind w:left="2094" w:hanging="420"/>
      </w:pPr>
    </w:lvl>
    <w:lvl w:ilvl="4" w:tentative="0">
      <w:start w:val="1"/>
      <w:numFmt w:val="lowerLetter"/>
      <w:lvlText w:val="%5)"/>
      <w:lvlJc w:val="left"/>
      <w:pPr>
        <w:ind w:left="2514" w:hanging="420"/>
      </w:pPr>
    </w:lvl>
    <w:lvl w:ilvl="5" w:tentative="0">
      <w:start w:val="1"/>
      <w:numFmt w:val="lowerRoman"/>
      <w:lvlText w:val="%6."/>
      <w:lvlJc w:val="right"/>
      <w:pPr>
        <w:ind w:left="2934" w:hanging="420"/>
      </w:pPr>
    </w:lvl>
    <w:lvl w:ilvl="6" w:tentative="0">
      <w:start w:val="1"/>
      <w:numFmt w:val="decimal"/>
      <w:lvlText w:val="%7."/>
      <w:lvlJc w:val="left"/>
      <w:pPr>
        <w:ind w:left="3354" w:hanging="420"/>
      </w:pPr>
    </w:lvl>
    <w:lvl w:ilvl="7" w:tentative="0">
      <w:start w:val="1"/>
      <w:numFmt w:val="lowerLetter"/>
      <w:lvlText w:val="%8)"/>
      <w:lvlJc w:val="left"/>
      <w:pPr>
        <w:ind w:left="3774" w:hanging="420"/>
      </w:pPr>
    </w:lvl>
    <w:lvl w:ilvl="8" w:tentative="0">
      <w:start w:val="1"/>
      <w:numFmt w:val="lowerRoman"/>
      <w:lvlText w:val="%9."/>
      <w:lvlJc w:val="right"/>
      <w:pPr>
        <w:ind w:left="4194" w:hanging="420"/>
      </w:pPr>
    </w:lvl>
  </w:abstractNum>
  <w:abstractNum w:abstractNumId="13">
    <w:nsid w:val="0CF35D61"/>
    <w:multiLevelType w:val="singleLevel"/>
    <w:tmpl w:val="0CF35D61"/>
    <w:lvl w:ilvl="0" w:tentative="0">
      <w:start w:val="1"/>
      <w:numFmt w:val="decimal"/>
      <w:suff w:val="nothing"/>
      <w:lvlText w:val="%1、"/>
      <w:lvlJc w:val="left"/>
    </w:lvl>
  </w:abstractNum>
  <w:abstractNum w:abstractNumId="14">
    <w:nsid w:val="178D3D0E"/>
    <w:multiLevelType w:val="multilevel"/>
    <w:tmpl w:val="178D3D0E"/>
    <w:lvl w:ilvl="0" w:tentative="0">
      <w:start w:val="1"/>
      <w:numFmt w:val="bullet"/>
      <w:pStyle w:val="91"/>
      <w:lvlText w:val=""/>
      <w:lvlJc w:val="left"/>
      <w:pPr>
        <w:tabs>
          <w:tab w:val="left" w:pos="367"/>
        </w:tabs>
        <w:ind w:left="367" w:hanging="360"/>
      </w:pPr>
      <w:rPr>
        <w:rFonts w:hint="default" w:ascii="Symbol" w:hAnsi="Symbol"/>
      </w:rPr>
    </w:lvl>
    <w:lvl w:ilvl="1" w:tentative="0">
      <w:start w:val="1"/>
      <w:numFmt w:val="bullet"/>
      <w:lvlText w:val="o"/>
      <w:lvlJc w:val="left"/>
      <w:pPr>
        <w:tabs>
          <w:tab w:val="left" w:pos="1087"/>
        </w:tabs>
        <w:ind w:left="1087" w:hanging="360"/>
      </w:pPr>
      <w:rPr>
        <w:rFonts w:hint="default" w:ascii="Courier New" w:hAnsi="Courier New" w:cs="Courier New"/>
      </w:rPr>
    </w:lvl>
    <w:lvl w:ilvl="2" w:tentative="0">
      <w:start w:val="1"/>
      <w:numFmt w:val="bullet"/>
      <w:lvlText w:val=""/>
      <w:lvlJc w:val="left"/>
      <w:pPr>
        <w:tabs>
          <w:tab w:val="left" w:pos="1807"/>
        </w:tabs>
        <w:ind w:left="1807" w:hanging="360"/>
      </w:pPr>
      <w:rPr>
        <w:rFonts w:hint="default" w:ascii="Wingdings" w:hAnsi="Wingdings"/>
      </w:rPr>
    </w:lvl>
    <w:lvl w:ilvl="3" w:tentative="0">
      <w:start w:val="1"/>
      <w:numFmt w:val="bullet"/>
      <w:lvlText w:val=""/>
      <w:lvlJc w:val="left"/>
      <w:pPr>
        <w:tabs>
          <w:tab w:val="left" w:pos="2527"/>
        </w:tabs>
        <w:ind w:left="2527" w:hanging="360"/>
      </w:pPr>
      <w:rPr>
        <w:rFonts w:hint="default" w:ascii="Symbol" w:hAnsi="Symbol"/>
      </w:rPr>
    </w:lvl>
    <w:lvl w:ilvl="4" w:tentative="0">
      <w:start w:val="1"/>
      <w:numFmt w:val="bullet"/>
      <w:lvlText w:val="o"/>
      <w:lvlJc w:val="left"/>
      <w:pPr>
        <w:tabs>
          <w:tab w:val="left" w:pos="3247"/>
        </w:tabs>
        <w:ind w:left="3247" w:hanging="360"/>
      </w:pPr>
      <w:rPr>
        <w:rFonts w:hint="default" w:ascii="Courier New" w:hAnsi="Courier New" w:cs="Courier New"/>
      </w:rPr>
    </w:lvl>
    <w:lvl w:ilvl="5" w:tentative="0">
      <w:start w:val="1"/>
      <w:numFmt w:val="bullet"/>
      <w:lvlText w:val=""/>
      <w:lvlJc w:val="left"/>
      <w:pPr>
        <w:tabs>
          <w:tab w:val="left" w:pos="3967"/>
        </w:tabs>
        <w:ind w:left="3967" w:hanging="360"/>
      </w:pPr>
      <w:rPr>
        <w:rFonts w:hint="default" w:ascii="Wingdings" w:hAnsi="Wingdings"/>
      </w:rPr>
    </w:lvl>
    <w:lvl w:ilvl="6" w:tentative="0">
      <w:start w:val="1"/>
      <w:numFmt w:val="bullet"/>
      <w:lvlText w:val=""/>
      <w:lvlJc w:val="left"/>
      <w:pPr>
        <w:tabs>
          <w:tab w:val="left" w:pos="4687"/>
        </w:tabs>
        <w:ind w:left="4687" w:hanging="360"/>
      </w:pPr>
      <w:rPr>
        <w:rFonts w:hint="default" w:ascii="Symbol" w:hAnsi="Symbol"/>
      </w:rPr>
    </w:lvl>
    <w:lvl w:ilvl="7" w:tentative="0">
      <w:start w:val="1"/>
      <w:numFmt w:val="bullet"/>
      <w:lvlText w:val="o"/>
      <w:lvlJc w:val="left"/>
      <w:pPr>
        <w:tabs>
          <w:tab w:val="left" w:pos="5407"/>
        </w:tabs>
        <w:ind w:left="5407" w:hanging="360"/>
      </w:pPr>
      <w:rPr>
        <w:rFonts w:hint="default" w:ascii="Courier New" w:hAnsi="Courier New" w:cs="Courier New"/>
      </w:rPr>
    </w:lvl>
    <w:lvl w:ilvl="8" w:tentative="0">
      <w:start w:val="1"/>
      <w:numFmt w:val="bullet"/>
      <w:lvlText w:val=""/>
      <w:lvlJc w:val="left"/>
      <w:pPr>
        <w:tabs>
          <w:tab w:val="left" w:pos="6127"/>
        </w:tabs>
        <w:ind w:left="6127" w:hanging="360"/>
      </w:pPr>
      <w:rPr>
        <w:rFonts w:hint="default" w:ascii="Wingdings" w:hAnsi="Wingdings"/>
      </w:rPr>
    </w:lvl>
  </w:abstractNum>
  <w:abstractNum w:abstractNumId="15">
    <w:nsid w:val="1E7B065C"/>
    <w:multiLevelType w:val="multilevel"/>
    <w:tmpl w:val="1E7B065C"/>
    <w:lvl w:ilvl="0" w:tentative="0">
      <w:start w:val="1"/>
      <w:numFmt w:val="decimal"/>
      <w:pStyle w:val="96"/>
      <w:lvlText w:val="%1)"/>
      <w:lvlJc w:val="left"/>
      <w:pPr>
        <w:ind w:left="1695" w:hanging="420"/>
      </w:pPr>
    </w:lvl>
    <w:lvl w:ilvl="1" w:tentative="0">
      <w:start w:val="1"/>
      <w:numFmt w:val="lowerLetter"/>
      <w:lvlText w:val="%2)"/>
      <w:lvlJc w:val="left"/>
      <w:pPr>
        <w:ind w:left="2115" w:hanging="420"/>
      </w:pPr>
    </w:lvl>
    <w:lvl w:ilvl="2" w:tentative="0">
      <w:start w:val="1"/>
      <w:numFmt w:val="lowerRoman"/>
      <w:lvlText w:val="%3."/>
      <w:lvlJc w:val="right"/>
      <w:pPr>
        <w:ind w:left="2535" w:hanging="420"/>
      </w:pPr>
    </w:lvl>
    <w:lvl w:ilvl="3" w:tentative="0">
      <w:start w:val="1"/>
      <w:numFmt w:val="decimal"/>
      <w:lvlText w:val="%4."/>
      <w:lvlJc w:val="left"/>
      <w:pPr>
        <w:ind w:left="2955" w:hanging="420"/>
      </w:pPr>
    </w:lvl>
    <w:lvl w:ilvl="4" w:tentative="0">
      <w:start w:val="1"/>
      <w:numFmt w:val="lowerLetter"/>
      <w:lvlText w:val="%5)"/>
      <w:lvlJc w:val="left"/>
      <w:pPr>
        <w:ind w:left="3375" w:hanging="420"/>
      </w:pPr>
    </w:lvl>
    <w:lvl w:ilvl="5" w:tentative="0">
      <w:start w:val="1"/>
      <w:numFmt w:val="lowerRoman"/>
      <w:lvlText w:val="%6."/>
      <w:lvlJc w:val="right"/>
      <w:pPr>
        <w:ind w:left="3795" w:hanging="420"/>
      </w:pPr>
    </w:lvl>
    <w:lvl w:ilvl="6" w:tentative="0">
      <w:start w:val="1"/>
      <w:numFmt w:val="decimal"/>
      <w:lvlText w:val="%7."/>
      <w:lvlJc w:val="left"/>
      <w:pPr>
        <w:ind w:left="4215" w:hanging="420"/>
      </w:pPr>
    </w:lvl>
    <w:lvl w:ilvl="7" w:tentative="0">
      <w:start w:val="1"/>
      <w:numFmt w:val="lowerLetter"/>
      <w:lvlText w:val="%8)"/>
      <w:lvlJc w:val="left"/>
      <w:pPr>
        <w:ind w:left="4635" w:hanging="420"/>
      </w:pPr>
    </w:lvl>
    <w:lvl w:ilvl="8" w:tentative="0">
      <w:start w:val="1"/>
      <w:numFmt w:val="lowerRoman"/>
      <w:lvlText w:val="%9."/>
      <w:lvlJc w:val="right"/>
      <w:pPr>
        <w:ind w:left="5055" w:hanging="420"/>
      </w:pPr>
    </w:lvl>
  </w:abstractNum>
  <w:abstractNum w:abstractNumId="16">
    <w:nsid w:val="31C1148E"/>
    <w:multiLevelType w:val="singleLevel"/>
    <w:tmpl w:val="31C1148E"/>
    <w:lvl w:ilvl="0" w:tentative="0">
      <w:start w:val="1"/>
      <w:numFmt w:val="decimal"/>
      <w:suff w:val="nothing"/>
      <w:lvlText w:val="（%1）"/>
      <w:lvlJc w:val="left"/>
      <w:pPr>
        <w:ind w:left="0" w:firstLine="0"/>
      </w:pPr>
    </w:lvl>
  </w:abstractNum>
  <w:abstractNum w:abstractNumId="17">
    <w:nsid w:val="4A8DA4C5"/>
    <w:multiLevelType w:val="singleLevel"/>
    <w:tmpl w:val="4A8DA4C5"/>
    <w:lvl w:ilvl="0" w:tentative="0">
      <w:start w:val="1"/>
      <w:numFmt w:val="bullet"/>
      <w:lvlText w:val=""/>
      <w:lvlJc w:val="left"/>
      <w:pPr>
        <w:ind w:left="0" w:leftChars="0" w:firstLine="0" w:firstLineChars="0"/>
      </w:pPr>
      <w:rPr>
        <w:rFonts w:hint="default" w:ascii="Wingdings" w:hAnsi="Wingdings"/>
      </w:rPr>
    </w:lvl>
  </w:abstractNum>
  <w:abstractNum w:abstractNumId="18">
    <w:nsid w:val="4CB32FC8"/>
    <w:multiLevelType w:val="multilevel"/>
    <w:tmpl w:val="4CB32FC8"/>
    <w:lvl w:ilvl="0" w:tentative="0">
      <w:start w:val="1"/>
      <w:numFmt w:val="upperLetter"/>
      <w:pStyle w:val="6"/>
      <w:lvlText w:val="%1)"/>
      <w:lvlJc w:val="left"/>
      <w:pPr>
        <w:tabs>
          <w:tab w:val="left" w:pos="420"/>
        </w:tabs>
        <w:ind w:left="420" w:hanging="420"/>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9">
    <w:nsid w:val="4F05AA6F"/>
    <w:multiLevelType w:val="singleLevel"/>
    <w:tmpl w:val="4F05AA6F"/>
    <w:lvl w:ilvl="0" w:tentative="0">
      <w:start w:val="2"/>
      <w:numFmt w:val="chineseCounting"/>
      <w:suff w:val="nothing"/>
      <w:lvlText w:val="%1、"/>
      <w:lvlJc w:val="left"/>
      <w:rPr>
        <w:rFonts w:hint="eastAsia"/>
      </w:rPr>
    </w:lvl>
  </w:abstractNum>
  <w:abstractNum w:abstractNumId="20">
    <w:nsid w:val="520018B0"/>
    <w:multiLevelType w:val="multilevel"/>
    <w:tmpl w:val="520018B0"/>
    <w:lvl w:ilvl="0" w:tentative="0">
      <w:start w:val="1"/>
      <w:numFmt w:val="decimal"/>
      <w:pStyle w:val="74"/>
      <w:lvlText w:val="%1."/>
      <w:lvlJc w:val="left"/>
      <w:pPr>
        <w:ind w:left="1260" w:hanging="420"/>
      </w:pPr>
      <w:rPr>
        <w:b w:val="0"/>
      </w:rPr>
    </w:lvl>
    <w:lvl w:ilvl="1" w:tentative="0">
      <w:start w:val="1"/>
      <w:numFmt w:val="lowerLetter"/>
      <w:lvlText w:val="%2)"/>
      <w:lvlJc w:val="left"/>
      <w:pPr>
        <w:ind w:left="1680" w:hanging="420"/>
      </w:pPr>
    </w:lvl>
    <w:lvl w:ilvl="2" w:tentative="0">
      <w:start w:val="1"/>
      <w:numFmt w:val="lowerRoman"/>
      <w:lvlText w:val="%3."/>
      <w:lvlJc w:val="right"/>
      <w:pPr>
        <w:ind w:left="2100" w:hanging="420"/>
      </w:pPr>
    </w:lvl>
    <w:lvl w:ilvl="3" w:tentative="0">
      <w:start w:val="1"/>
      <w:numFmt w:val="decimal"/>
      <w:lvlText w:val="%4."/>
      <w:lvlJc w:val="left"/>
      <w:pPr>
        <w:ind w:left="2520" w:hanging="420"/>
      </w:pPr>
    </w:lvl>
    <w:lvl w:ilvl="4" w:tentative="0">
      <w:start w:val="1"/>
      <w:numFmt w:val="lowerLetter"/>
      <w:lvlText w:val="%5)"/>
      <w:lvlJc w:val="left"/>
      <w:pPr>
        <w:ind w:left="2940" w:hanging="420"/>
      </w:pPr>
    </w:lvl>
    <w:lvl w:ilvl="5" w:tentative="0">
      <w:start w:val="1"/>
      <w:numFmt w:val="lowerRoman"/>
      <w:lvlText w:val="%6."/>
      <w:lvlJc w:val="right"/>
      <w:pPr>
        <w:ind w:left="3360" w:hanging="420"/>
      </w:pPr>
    </w:lvl>
    <w:lvl w:ilvl="6" w:tentative="0">
      <w:start w:val="1"/>
      <w:numFmt w:val="decimal"/>
      <w:lvlText w:val="%7."/>
      <w:lvlJc w:val="left"/>
      <w:pPr>
        <w:ind w:left="3780" w:hanging="420"/>
      </w:pPr>
    </w:lvl>
    <w:lvl w:ilvl="7" w:tentative="0">
      <w:start w:val="1"/>
      <w:numFmt w:val="lowerLetter"/>
      <w:lvlText w:val="%8)"/>
      <w:lvlJc w:val="left"/>
      <w:pPr>
        <w:ind w:left="4200" w:hanging="420"/>
      </w:pPr>
    </w:lvl>
    <w:lvl w:ilvl="8" w:tentative="0">
      <w:start w:val="1"/>
      <w:numFmt w:val="lowerRoman"/>
      <w:lvlText w:val="%9."/>
      <w:lvlJc w:val="right"/>
      <w:pPr>
        <w:ind w:left="4620" w:hanging="420"/>
      </w:pPr>
    </w:lvl>
  </w:abstractNum>
  <w:abstractNum w:abstractNumId="21">
    <w:nsid w:val="560F40FB"/>
    <w:multiLevelType w:val="multilevel"/>
    <w:tmpl w:val="560F40FB"/>
    <w:lvl w:ilvl="0" w:tentative="0">
      <w:start w:val="1"/>
      <w:numFmt w:val="lowerLetter"/>
      <w:pStyle w:val="101"/>
      <w:lvlText w:val="%1)"/>
      <w:lvlJc w:val="left"/>
      <w:pPr>
        <w:ind w:left="1260" w:hanging="420"/>
      </w:pPr>
    </w:lvl>
    <w:lvl w:ilvl="1" w:tentative="0">
      <w:start w:val="1"/>
      <w:numFmt w:val="lowerLetter"/>
      <w:lvlText w:val="%2)"/>
      <w:lvlJc w:val="left"/>
      <w:pPr>
        <w:ind w:left="1680" w:hanging="420"/>
      </w:pPr>
    </w:lvl>
    <w:lvl w:ilvl="2" w:tentative="0">
      <w:start w:val="1"/>
      <w:numFmt w:val="lowerRoman"/>
      <w:lvlText w:val="%3."/>
      <w:lvlJc w:val="right"/>
      <w:pPr>
        <w:ind w:left="2100" w:hanging="420"/>
      </w:pPr>
    </w:lvl>
    <w:lvl w:ilvl="3" w:tentative="0">
      <w:start w:val="1"/>
      <w:numFmt w:val="decimal"/>
      <w:lvlText w:val="%4."/>
      <w:lvlJc w:val="left"/>
      <w:pPr>
        <w:ind w:left="2520" w:hanging="420"/>
      </w:pPr>
    </w:lvl>
    <w:lvl w:ilvl="4" w:tentative="0">
      <w:start w:val="1"/>
      <w:numFmt w:val="lowerLetter"/>
      <w:lvlText w:val="%5)"/>
      <w:lvlJc w:val="left"/>
      <w:pPr>
        <w:ind w:left="2940" w:hanging="420"/>
      </w:pPr>
    </w:lvl>
    <w:lvl w:ilvl="5" w:tentative="0">
      <w:start w:val="1"/>
      <w:numFmt w:val="lowerRoman"/>
      <w:lvlText w:val="%6."/>
      <w:lvlJc w:val="right"/>
      <w:pPr>
        <w:ind w:left="3360" w:hanging="420"/>
      </w:pPr>
    </w:lvl>
    <w:lvl w:ilvl="6" w:tentative="0">
      <w:start w:val="1"/>
      <w:numFmt w:val="decimal"/>
      <w:lvlText w:val="%7."/>
      <w:lvlJc w:val="left"/>
      <w:pPr>
        <w:ind w:left="3780" w:hanging="420"/>
      </w:pPr>
    </w:lvl>
    <w:lvl w:ilvl="7" w:tentative="0">
      <w:start w:val="1"/>
      <w:numFmt w:val="lowerLetter"/>
      <w:lvlText w:val="%8)"/>
      <w:lvlJc w:val="left"/>
      <w:pPr>
        <w:ind w:left="4200" w:hanging="420"/>
      </w:pPr>
    </w:lvl>
    <w:lvl w:ilvl="8" w:tentative="0">
      <w:start w:val="1"/>
      <w:numFmt w:val="lowerRoman"/>
      <w:lvlText w:val="%9."/>
      <w:lvlJc w:val="right"/>
      <w:pPr>
        <w:ind w:left="4620" w:hanging="420"/>
      </w:pPr>
    </w:lvl>
  </w:abstractNum>
  <w:abstractNum w:abstractNumId="22">
    <w:nsid w:val="56D20133"/>
    <w:multiLevelType w:val="multilevel"/>
    <w:tmpl w:val="56D20133"/>
    <w:lvl w:ilvl="0" w:tentative="0">
      <w:start w:val="1"/>
      <w:numFmt w:val="chineseCountingThousand"/>
      <w:pStyle w:val="73"/>
      <w:lvlText w:val="(%1)"/>
      <w:lvlJc w:val="left"/>
      <w:pPr>
        <w:ind w:left="1130" w:hanging="420"/>
      </w:pPr>
      <w:rPr>
        <w:rFonts w:hint="eastAsia"/>
        <w:b/>
      </w:rPr>
    </w:lvl>
    <w:lvl w:ilvl="1" w:tentative="0">
      <w:start w:val="1"/>
      <w:numFmt w:val="decimal"/>
      <w:lvlText w:val="%2."/>
      <w:lvlJc w:val="left"/>
      <w:pPr>
        <w:ind w:left="1200" w:hanging="360"/>
      </w:pPr>
      <w:rPr>
        <w:rFonts w:hint="default"/>
        <w:b w:val="0"/>
      </w:rPr>
    </w:lvl>
    <w:lvl w:ilvl="2" w:tentative="0">
      <w:start w:val="1"/>
      <w:numFmt w:val="lowerRoman"/>
      <w:lvlText w:val="%3."/>
      <w:lvlJc w:val="right"/>
      <w:pPr>
        <w:ind w:left="1680" w:hanging="420"/>
      </w:pPr>
      <w:rPr>
        <w:rFonts w:hint="eastAsia"/>
      </w:rPr>
    </w:lvl>
    <w:lvl w:ilvl="3" w:tentative="0">
      <w:start w:val="1"/>
      <w:numFmt w:val="decimal"/>
      <w:lvlText w:val="（%4）"/>
      <w:lvlJc w:val="left"/>
      <w:pPr>
        <w:ind w:left="2400" w:hanging="720"/>
      </w:pPr>
      <w:rPr>
        <w:rFonts w:hint="default"/>
      </w:rPr>
    </w:lvl>
    <w:lvl w:ilvl="4" w:tentative="0">
      <w:start w:val="1"/>
      <w:numFmt w:val="lowerLetter"/>
      <w:lvlText w:val="%5)"/>
      <w:lvlJc w:val="left"/>
      <w:pPr>
        <w:ind w:left="2520" w:hanging="420"/>
      </w:pPr>
      <w:rPr>
        <w:rFonts w:hint="eastAsia"/>
      </w:rPr>
    </w:lvl>
    <w:lvl w:ilvl="5" w:tentative="0">
      <w:start w:val="1"/>
      <w:numFmt w:val="lowerRoman"/>
      <w:lvlText w:val="%6."/>
      <w:lvlJc w:val="right"/>
      <w:pPr>
        <w:ind w:left="2940" w:hanging="420"/>
      </w:pPr>
      <w:rPr>
        <w:rFonts w:hint="eastAsia"/>
      </w:rPr>
    </w:lvl>
    <w:lvl w:ilvl="6" w:tentative="0">
      <w:start w:val="1"/>
      <w:numFmt w:val="decimal"/>
      <w:lvlText w:val="%7."/>
      <w:lvlJc w:val="left"/>
      <w:pPr>
        <w:ind w:left="3360" w:hanging="420"/>
      </w:pPr>
      <w:rPr>
        <w:rFonts w:hint="eastAsia"/>
      </w:rPr>
    </w:lvl>
    <w:lvl w:ilvl="7" w:tentative="0">
      <w:start w:val="1"/>
      <w:numFmt w:val="lowerLetter"/>
      <w:lvlText w:val="%8)"/>
      <w:lvlJc w:val="left"/>
      <w:pPr>
        <w:ind w:left="3780" w:hanging="420"/>
      </w:pPr>
      <w:rPr>
        <w:rFonts w:hint="eastAsia"/>
      </w:rPr>
    </w:lvl>
    <w:lvl w:ilvl="8" w:tentative="0">
      <w:start w:val="1"/>
      <w:numFmt w:val="lowerRoman"/>
      <w:lvlText w:val="%9."/>
      <w:lvlJc w:val="right"/>
      <w:pPr>
        <w:ind w:left="4200" w:hanging="420"/>
      </w:pPr>
      <w:rPr>
        <w:rFonts w:hint="eastAsia"/>
      </w:rPr>
    </w:lvl>
  </w:abstractNum>
  <w:abstractNum w:abstractNumId="23">
    <w:nsid w:val="5983D379"/>
    <w:multiLevelType w:val="singleLevel"/>
    <w:tmpl w:val="5983D379"/>
    <w:lvl w:ilvl="0" w:tentative="0">
      <w:start w:val="1"/>
      <w:numFmt w:val="decimal"/>
      <w:lvlText w:val="(%1)"/>
      <w:lvlJc w:val="left"/>
      <w:pPr>
        <w:ind w:left="425" w:hanging="425"/>
      </w:pPr>
      <w:rPr>
        <w:rFonts w:hint="default"/>
      </w:rPr>
    </w:lvl>
  </w:abstractNum>
  <w:abstractNum w:abstractNumId="24">
    <w:nsid w:val="656A6EAE"/>
    <w:multiLevelType w:val="multilevel"/>
    <w:tmpl w:val="656A6EAE"/>
    <w:lvl w:ilvl="0" w:tentative="0">
      <w:start w:val="1"/>
      <w:numFmt w:val="chineseCountingThousand"/>
      <w:pStyle w:val="72"/>
      <w:suff w:val="nothing"/>
      <w:lvlText w:val="%1、"/>
      <w:lvlJc w:val="left"/>
      <w:pPr>
        <w:ind w:left="2972" w:hanging="420"/>
      </w:pPr>
      <w:rPr>
        <w:rFonts w:hint="eastAsia" w:ascii="黑体" w:hAnsi="黑体" w:eastAsia="黑体"/>
        <w:sz w:val="28"/>
        <w:szCs w:val="28"/>
        <w:highlight w:val="none"/>
        <w:lang w:val="en-US"/>
      </w:rPr>
    </w:lvl>
    <w:lvl w:ilvl="1" w:tentative="0">
      <w:start w:val="1"/>
      <w:numFmt w:val="lowerLetter"/>
      <w:lvlText w:val="%2)"/>
      <w:lvlJc w:val="left"/>
      <w:pPr>
        <w:ind w:left="840" w:hanging="420"/>
      </w:pPr>
      <w:rPr>
        <w:rFonts w:hint="eastAsia"/>
      </w:rPr>
    </w:lvl>
    <w:lvl w:ilvl="2" w:tentative="0">
      <w:start w:val="1"/>
      <w:numFmt w:val="lowerRoman"/>
      <w:lvlText w:val="%3."/>
      <w:lvlJc w:val="right"/>
      <w:pPr>
        <w:ind w:left="1260" w:hanging="420"/>
      </w:pPr>
      <w:rPr>
        <w:rFonts w:hint="eastAsia"/>
      </w:rPr>
    </w:lvl>
    <w:lvl w:ilvl="3" w:tentative="0">
      <w:start w:val="1"/>
      <w:numFmt w:val="decimal"/>
      <w:lvlText w:val="%4."/>
      <w:lvlJc w:val="left"/>
      <w:pPr>
        <w:ind w:left="1680" w:hanging="420"/>
      </w:pPr>
      <w:rPr>
        <w:rFonts w:hint="eastAsia"/>
      </w:rPr>
    </w:lvl>
    <w:lvl w:ilvl="4" w:tentative="0">
      <w:start w:val="1"/>
      <w:numFmt w:val="lowerLetter"/>
      <w:lvlText w:val="%5)"/>
      <w:lvlJc w:val="left"/>
      <w:pPr>
        <w:ind w:left="2100" w:hanging="420"/>
      </w:pPr>
      <w:rPr>
        <w:rFonts w:hint="eastAsia"/>
      </w:rPr>
    </w:lvl>
    <w:lvl w:ilvl="5" w:tentative="0">
      <w:start w:val="1"/>
      <w:numFmt w:val="lowerRoman"/>
      <w:lvlText w:val="%6."/>
      <w:lvlJc w:val="right"/>
      <w:pPr>
        <w:ind w:left="2520" w:hanging="420"/>
      </w:pPr>
      <w:rPr>
        <w:rFonts w:hint="eastAsia"/>
      </w:rPr>
    </w:lvl>
    <w:lvl w:ilvl="6" w:tentative="0">
      <w:start w:val="1"/>
      <w:numFmt w:val="decimal"/>
      <w:lvlText w:val="%7."/>
      <w:lvlJc w:val="left"/>
      <w:pPr>
        <w:ind w:left="2940" w:hanging="420"/>
      </w:pPr>
      <w:rPr>
        <w:rFonts w:hint="eastAsia"/>
      </w:rPr>
    </w:lvl>
    <w:lvl w:ilvl="7" w:tentative="0">
      <w:start w:val="1"/>
      <w:numFmt w:val="lowerLetter"/>
      <w:lvlText w:val="%8)"/>
      <w:lvlJc w:val="left"/>
      <w:pPr>
        <w:ind w:left="3360" w:hanging="420"/>
      </w:pPr>
      <w:rPr>
        <w:rFonts w:hint="eastAsia"/>
      </w:rPr>
    </w:lvl>
    <w:lvl w:ilvl="8" w:tentative="0">
      <w:start w:val="1"/>
      <w:numFmt w:val="lowerRoman"/>
      <w:lvlText w:val="%9."/>
      <w:lvlJc w:val="right"/>
      <w:pPr>
        <w:ind w:left="3780" w:hanging="420"/>
      </w:pPr>
      <w:rPr>
        <w:rFonts w:hint="eastAsia"/>
      </w:rPr>
    </w:lvl>
  </w:abstractNum>
  <w:abstractNum w:abstractNumId="25">
    <w:nsid w:val="7AE44757"/>
    <w:multiLevelType w:val="multilevel"/>
    <w:tmpl w:val="7AE44757"/>
    <w:lvl w:ilvl="0" w:tentative="0">
      <w:start w:val="1"/>
      <w:numFmt w:val="bullet"/>
      <w:lvlText w:val=""/>
      <w:lvlJc w:val="left"/>
      <w:pPr>
        <w:tabs>
          <w:tab w:val="left" w:pos="-840"/>
        </w:tabs>
        <w:ind w:left="430" w:hanging="420"/>
      </w:pPr>
      <w:rPr>
        <w:rFonts w:hint="default" w:ascii="Wingdings" w:hAnsi="Wingdings"/>
      </w:rPr>
    </w:lvl>
    <w:lvl w:ilvl="1" w:tentative="0">
      <w:start w:val="1"/>
      <w:numFmt w:val="bullet"/>
      <w:lvlText w:val=""/>
      <w:lvlJc w:val="left"/>
      <w:pPr>
        <w:tabs>
          <w:tab w:val="left" w:pos="-840"/>
        </w:tabs>
        <w:ind w:left="850" w:hanging="420"/>
      </w:pPr>
      <w:rPr>
        <w:rFonts w:hint="default" w:ascii="Wingdings" w:hAnsi="Wingdings"/>
      </w:rPr>
    </w:lvl>
    <w:lvl w:ilvl="2" w:tentative="0">
      <w:start w:val="1"/>
      <w:numFmt w:val="bullet"/>
      <w:lvlText w:val=""/>
      <w:lvlJc w:val="left"/>
      <w:pPr>
        <w:tabs>
          <w:tab w:val="left" w:pos="-840"/>
        </w:tabs>
        <w:ind w:left="1270" w:hanging="420"/>
      </w:pPr>
      <w:rPr>
        <w:rFonts w:hint="default" w:ascii="Wingdings" w:hAnsi="Wingdings"/>
      </w:rPr>
    </w:lvl>
    <w:lvl w:ilvl="3" w:tentative="0">
      <w:start w:val="1"/>
      <w:numFmt w:val="bullet"/>
      <w:lvlText w:val=""/>
      <w:lvlJc w:val="left"/>
      <w:pPr>
        <w:tabs>
          <w:tab w:val="left" w:pos="-840"/>
        </w:tabs>
        <w:ind w:left="1690" w:hanging="420"/>
      </w:pPr>
      <w:rPr>
        <w:rFonts w:hint="default" w:ascii="Wingdings" w:hAnsi="Wingdings"/>
      </w:rPr>
    </w:lvl>
    <w:lvl w:ilvl="4" w:tentative="0">
      <w:start w:val="1"/>
      <w:numFmt w:val="bullet"/>
      <w:lvlText w:val=""/>
      <w:lvlJc w:val="left"/>
      <w:pPr>
        <w:tabs>
          <w:tab w:val="left" w:pos="-840"/>
        </w:tabs>
        <w:ind w:left="2110" w:hanging="420"/>
      </w:pPr>
      <w:rPr>
        <w:rFonts w:hint="default" w:ascii="Wingdings" w:hAnsi="Wingdings"/>
      </w:rPr>
    </w:lvl>
    <w:lvl w:ilvl="5" w:tentative="0">
      <w:start w:val="1"/>
      <w:numFmt w:val="bullet"/>
      <w:lvlText w:val=""/>
      <w:lvlJc w:val="left"/>
      <w:pPr>
        <w:tabs>
          <w:tab w:val="left" w:pos="-840"/>
        </w:tabs>
        <w:ind w:left="2530" w:hanging="420"/>
      </w:pPr>
      <w:rPr>
        <w:rFonts w:hint="default" w:ascii="Wingdings" w:hAnsi="Wingdings"/>
      </w:rPr>
    </w:lvl>
    <w:lvl w:ilvl="6" w:tentative="0">
      <w:start w:val="1"/>
      <w:numFmt w:val="bullet"/>
      <w:lvlText w:val=""/>
      <w:lvlJc w:val="left"/>
      <w:pPr>
        <w:tabs>
          <w:tab w:val="left" w:pos="-840"/>
        </w:tabs>
        <w:ind w:left="2950" w:hanging="420"/>
      </w:pPr>
      <w:rPr>
        <w:rFonts w:hint="default" w:ascii="Wingdings" w:hAnsi="Wingdings"/>
      </w:rPr>
    </w:lvl>
    <w:lvl w:ilvl="7" w:tentative="0">
      <w:start w:val="1"/>
      <w:numFmt w:val="bullet"/>
      <w:lvlText w:val=""/>
      <w:lvlJc w:val="left"/>
      <w:pPr>
        <w:tabs>
          <w:tab w:val="left" w:pos="-840"/>
        </w:tabs>
        <w:ind w:left="3370" w:hanging="420"/>
      </w:pPr>
      <w:rPr>
        <w:rFonts w:hint="default" w:ascii="Wingdings" w:hAnsi="Wingdings"/>
      </w:rPr>
    </w:lvl>
    <w:lvl w:ilvl="8" w:tentative="0">
      <w:start w:val="1"/>
      <w:numFmt w:val="bullet"/>
      <w:lvlText w:val=""/>
      <w:lvlJc w:val="left"/>
      <w:pPr>
        <w:tabs>
          <w:tab w:val="left" w:pos="-840"/>
        </w:tabs>
        <w:ind w:left="3790" w:hanging="420"/>
      </w:pPr>
      <w:rPr>
        <w:rFonts w:hint="default" w:ascii="Wingdings" w:hAnsi="Wingdings"/>
      </w:rPr>
    </w:lvl>
  </w:abstractNum>
  <w:num w:numId="1">
    <w:abstractNumId w:val="18"/>
  </w:num>
  <w:num w:numId="2">
    <w:abstractNumId w:val="24"/>
  </w:num>
  <w:num w:numId="3">
    <w:abstractNumId w:val="22"/>
  </w:num>
  <w:num w:numId="4">
    <w:abstractNumId w:val="20"/>
  </w:num>
  <w:num w:numId="5">
    <w:abstractNumId w:val="12"/>
  </w:num>
  <w:num w:numId="6">
    <w:abstractNumId w:val="14"/>
  </w:num>
  <w:num w:numId="7">
    <w:abstractNumId w:val="15"/>
  </w:num>
  <w:num w:numId="8">
    <w:abstractNumId w:val="21"/>
  </w:num>
  <w:num w:numId="9">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6"/>
  </w:num>
  <w:num w:numId="12">
    <w:abstractNumId w:val="4"/>
  </w:num>
  <w:num w:numId="13">
    <w:abstractNumId w:val="0"/>
  </w:num>
  <w:num w:numId="14">
    <w:abstractNumId w:val="2"/>
  </w:num>
  <w:num w:numId="15">
    <w:abstractNumId w:val="23"/>
  </w:num>
  <w:num w:numId="16">
    <w:abstractNumId w:val="25"/>
  </w:num>
  <w:num w:numId="17">
    <w:abstractNumId w:val="8"/>
  </w:num>
  <w:num w:numId="18">
    <w:abstractNumId w:val="7"/>
  </w:num>
  <w:num w:numId="19">
    <w:abstractNumId w:val="3"/>
  </w:num>
  <w:num w:numId="20">
    <w:abstractNumId w:val="1"/>
  </w:num>
  <w:num w:numId="21">
    <w:abstractNumId w:val="11"/>
  </w:num>
  <w:num w:numId="22">
    <w:abstractNumId w:val="5"/>
  </w:num>
  <w:num w:numId="23">
    <w:abstractNumId w:val="9"/>
  </w:num>
  <w:num w:numId="24">
    <w:abstractNumId w:val="17"/>
  </w:num>
  <w:num w:numId="25">
    <w:abstractNumId w:val="19"/>
  </w:num>
  <w:num w:numId="26">
    <w:abstractNumId w:val="10"/>
  </w:num>
  <w:num w:numId="27">
    <w:abstractNumId w:val="13"/>
  </w:num>
  <w:num w:numId="28">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40"/>
  <w:bordersDoNotSurroundHeader w:val="0"/>
  <w:bordersDoNotSurroundFooter w:val="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0"/>
  <w:drawingGridHorizontalSpacing w:val="105"/>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jhlYzA2M2U3YjFkYWEwOWE3MmFiNGEzODVjMGM5M2YifQ=="/>
  </w:docVars>
  <w:rsids>
    <w:rsidRoot w:val="003447BF"/>
    <w:rsid w:val="0000027A"/>
    <w:rsid w:val="00000F16"/>
    <w:rsid w:val="00001A3D"/>
    <w:rsid w:val="00002019"/>
    <w:rsid w:val="00002207"/>
    <w:rsid w:val="0000340B"/>
    <w:rsid w:val="000035F7"/>
    <w:rsid w:val="00003F46"/>
    <w:rsid w:val="000048DB"/>
    <w:rsid w:val="00005610"/>
    <w:rsid w:val="000056AD"/>
    <w:rsid w:val="00006391"/>
    <w:rsid w:val="000066B1"/>
    <w:rsid w:val="000076EB"/>
    <w:rsid w:val="00007938"/>
    <w:rsid w:val="000109D5"/>
    <w:rsid w:val="000126A7"/>
    <w:rsid w:val="00013B94"/>
    <w:rsid w:val="00013CCE"/>
    <w:rsid w:val="00013EAD"/>
    <w:rsid w:val="000140D2"/>
    <w:rsid w:val="00015473"/>
    <w:rsid w:val="00015598"/>
    <w:rsid w:val="00016598"/>
    <w:rsid w:val="00016CB2"/>
    <w:rsid w:val="000176E1"/>
    <w:rsid w:val="00017D18"/>
    <w:rsid w:val="0002035A"/>
    <w:rsid w:val="000203CA"/>
    <w:rsid w:val="00022189"/>
    <w:rsid w:val="000226D8"/>
    <w:rsid w:val="00022BFC"/>
    <w:rsid w:val="000235F1"/>
    <w:rsid w:val="00027A64"/>
    <w:rsid w:val="000305C9"/>
    <w:rsid w:val="000307EF"/>
    <w:rsid w:val="00030FFD"/>
    <w:rsid w:val="0003105F"/>
    <w:rsid w:val="00031718"/>
    <w:rsid w:val="0003264D"/>
    <w:rsid w:val="0003278E"/>
    <w:rsid w:val="00033243"/>
    <w:rsid w:val="00033657"/>
    <w:rsid w:val="00033970"/>
    <w:rsid w:val="00034F4C"/>
    <w:rsid w:val="00035188"/>
    <w:rsid w:val="00035689"/>
    <w:rsid w:val="00035E1B"/>
    <w:rsid w:val="0003685E"/>
    <w:rsid w:val="000368DB"/>
    <w:rsid w:val="000370BC"/>
    <w:rsid w:val="00037DE7"/>
    <w:rsid w:val="00041058"/>
    <w:rsid w:val="0004181F"/>
    <w:rsid w:val="000418B4"/>
    <w:rsid w:val="000423FB"/>
    <w:rsid w:val="00042463"/>
    <w:rsid w:val="00042AB2"/>
    <w:rsid w:val="000433A7"/>
    <w:rsid w:val="00043A88"/>
    <w:rsid w:val="00043CE0"/>
    <w:rsid w:val="00043FE0"/>
    <w:rsid w:val="00045598"/>
    <w:rsid w:val="00045889"/>
    <w:rsid w:val="00046197"/>
    <w:rsid w:val="00046326"/>
    <w:rsid w:val="0004713F"/>
    <w:rsid w:val="0005010C"/>
    <w:rsid w:val="00050BF7"/>
    <w:rsid w:val="00050FAE"/>
    <w:rsid w:val="0005230D"/>
    <w:rsid w:val="00052373"/>
    <w:rsid w:val="0005298D"/>
    <w:rsid w:val="00052C94"/>
    <w:rsid w:val="00053A3B"/>
    <w:rsid w:val="00054226"/>
    <w:rsid w:val="000547D0"/>
    <w:rsid w:val="000551E5"/>
    <w:rsid w:val="00055490"/>
    <w:rsid w:val="00057C2D"/>
    <w:rsid w:val="000602B2"/>
    <w:rsid w:val="0006147C"/>
    <w:rsid w:val="0006230D"/>
    <w:rsid w:val="000629E2"/>
    <w:rsid w:val="00062D25"/>
    <w:rsid w:val="00064E83"/>
    <w:rsid w:val="000656D0"/>
    <w:rsid w:val="00066685"/>
    <w:rsid w:val="00066946"/>
    <w:rsid w:val="000702C7"/>
    <w:rsid w:val="0007042D"/>
    <w:rsid w:val="00070E1E"/>
    <w:rsid w:val="000711E0"/>
    <w:rsid w:val="000711E8"/>
    <w:rsid w:val="00071B86"/>
    <w:rsid w:val="00072BC3"/>
    <w:rsid w:val="00073F28"/>
    <w:rsid w:val="00074924"/>
    <w:rsid w:val="000752C4"/>
    <w:rsid w:val="00075794"/>
    <w:rsid w:val="00075EE4"/>
    <w:rsid w:val="00076460"/>
    <w:rsid w:val="000769C0"/>
    <w:rsid w:val="0008030B"/>
    <w:rsid w:val="00080724"/>
    <w:rsid w:val="0008074A"/>
    <w:rsid w:val="00080AC1"/>
    <w:rsid w:val="00080FDE"/>
    <w:rsid w:val="00080FEA"/>
    <w:rsid w:val="0008127C"/>
    <w:rsid w:val="00081392"/>
    <w:rsid w:val="00081757"/>
    <w:rsid w:val="000825CD"/>
    <w:rsid w:val="00082C65"/>
    <w:rsid w:val="00082E41"/>
    <w:rsid w:val="00083710"/>
    <w:rsid w:val="00083B90"/>
    <w:rsid w:val="00083C90"/>
    <w:rsid w:val="00083F30"/>
    <w:rsid w:val="00084463"/>
    <w:rsid w:val="00084746"/>
    <w:rsid w:val="000850E9"/>
    <w:rsid w:val="000859E7"/>
    <w:rsid w:val="00085F92"/>
    <w:rsid w:val="00086313"/>
    <w:rsid w:val="00086CF7"/>
    <w:rsid w:val="00086DF0"/>
    <w:rsid w:val="000903E0"/>
    <w:rsid w:val="00090426"/>
    <w:rsid w:val="0009085D"/>
    <w:rsid w:val="000915B5"/>
    <w:rsid w:val="0009177F"/>
    <w:rsid w:val="000924E1"/>
    <w:rsid w:val="00092ABD"/>
    <w:rsid w:val="00093597"/>
    <w:rsid w:val="00093F23"/>
    <w:rsid w:val="000940E3"/>
    <w:rsid w:val="0009563B"/>
    <w:rsid w:val="00095825"/>
    <w:rsid w:val="000977D2"/>
    <w:rsid w:val="00097E39"/>
    <w:rsid w:val="000A23F5"/>
    <w:rsid w:val="000A2765"/>
    <w:rsid w:val="000A424B"/>
    <w:rsid w:val="000A477E"/>
    <w:rsid w:val="000A5072"/>
    <w:rsid w:val="000A5F66"/>
    <w:rsid w:val="000A6D9E"/>
    <w:rsid w:val="000A6ED8"/>
    <w:rsid w:val="000A70C0"/>
    <w:rsid w:val="000A76FF"/>
    <w:rsid w:val="000B005C"/>
    <w:rsid w:val="000B08E0"/>
    <w:rsid w:val="000B0F49"/>
    <w:rsid w:val="000B1025"/>
    <w:rsid w:val="000B1727"/>
    <w:rsid w:val="000B1922"/>
    <w:rsid w:val="000B2779"/>
    <w:rsid w:val="000B47AD"/>
    <w:rsid w:val="000B6146"/>
    <w:rsid w:val="000B663B"/>
    <w:rsid w:val="000B6DD8"/>
    <w:rsid w:val="000C0825"/>
    <w:rsid w:val="000C17A9"/>
    <w:rsid w:val="000C3ED3"/>
    <w:rsid w:val="000C530E"/>
    <w:rsid w:val="000C542C"/>
    <w:rsid w:val="000C6390"/>
    <w:rsid w:val="000C6793"/>
    <w:rsid w:val="000C6B8A"/>
    <w:rsid w:val="000C7700"/>
    <w:rsid w:val="000C775D"/>
    <w:rsid w:val="000C79E7"/>
    <w:rsid w:val="000C7F80"/>
    <w:rsid w:val="000D0155"/>
    <w:rsid w:val="000D01FA"/>
    <w:rsid w:val="000D07ED"/>
    <w:rsid w:val="000D14A9"/>
    <w:rsid w:val="000D191B"/>
    <w:rsid w:val="000D1930"/>
    <w:rsid w:val="000D2866"/>
    <w:rsid w:val="000D2F21"/>
    <w:rsid w:val="000D3FBC"/>
    <w:rsid w:val="000D402B"/>
    <w:rsid w:val="000D486A"/>
    <w:rsid w:val="000D486E"/>
    <w:rsid w:val="000D4B05"/>
    <w:rsid w:val="000D4D7C"/>
    <w:rsid w:val="000D4D91"/>
    <w:rsid w:val="000D4EA2"/>
    <w:rsid w:val="000D55C4"/>
    <w:rsid w:val="000D696D"/>
    <w:rsid w:val="000D6EF1"/>
    <w:rsid w:val="000D6F72"/>
    <w:rsid w:val="000D7392"/>
    <w:rsid w:val="000D789A"/>
    <w:rsid w:val="000D7A5B"/>
    <w:rsid w:val="000E0577"/>
    <w:rsid w:val="000E0D71"/>
    <w:rsid w:val="000E2607"/>
    <w:rsid w:val="000E353F"/>
    <w:rsid w:val="000E3A8A"/>
    <w:rsid w:val="000E406C"/>
    <w:rsid w:val="000E444B"/>
    <w:rsid w:val="000E5428"/>
    <w:rsid w:val="000E5A9F"/>
    <w:rsid w:val="000F02A3"/>
    <w:rsid w:val="000F0526"/>
    <w:rsid w:val="000F1557"/>
    <w:rsid w:val="000F16A9"/>
    <w:rsid w:val="000F1864"/>
    <w:rsid w:val="000F259B"/>
    <w:rsid w:val="000F42DF"/>
    <w:rsid w:val="000F4402"/>
    <w:rsid w:val="000F4554"/>
    <w:rsid w:val="000F456F"/>
    <w:rsid w:val="000F47D9"/>
    <w:rsid w:val="000F513A"/>
    <w:rsid w:val="000F53D5"/>
    <w:rsid w:val="000F59FE"/>
    <w:rsid w:val="000F653C"/>
    <w:rsid w:val="000F7555"/>
    <w:rsid w:val="001005DF"/>
    <w:rsid w:val="00100B27"/>
    <w:rsid w:val="00102526"/>
    <w:rsid w:val="0010264B"/>
    <w:rsid w:val="00102A52"/>
    <w:rsid w:val="001043B1"/>
    <w:rsid w:val="00104A1E"/>
    <w:rsid w:val="00104B25"/>
    <w:rsid w:val="001057C3"/>
    <w:rsid w:val="00105D37"/>
    <w:rsid w:val="00106C22"/>
    <w:rsid w:val="00107537"/>
    <w:rsid w:val="001112B1"/>
    <w:rsid w:val="0011183F"/>
    <w:rsid w:val="00112A18"/>
    <w:rsid w:val="00112B20"/>
    <w:rsid w:val="00112C44"/>
    <w:rsid w:val="0011354F"/>
    <w:rsid w:val="00113C11"/>
    <w:rsid w:val="00114457"/>
    <w:rsid w:val="00114A6A"/>
    <w:rsid w:val="00114E84"/>
    <w:rsid w:val="00115384"/>
    <w:rsid w:val="0011558A"/>
    <w:rsid w:val="001158C7"/>
    <w:rsid w:val="001160D8"/>
    <w:rsid w:val="00117FBD"/>
    <w:rsid w:val="00120F1C"/>
    <w:rsid w:val="001222AB"/>
    <w:rsid w:val="001228DF"/>
    <w:rsid w:val="00123312"/>
    <w:rsid w:val="00123E58"/>
    <w:rsid w:val="00125049"/>
    <w:rsid w:val="001258FA"/>
    <w:rsid w:val="001263DC"/>
    <w:rsid w:val="0012656C"/>
    <w:rsid w:val="001277F0"/>
    <w:rsid w:val="001302A7"/>
    <w:rsid w:val="001302DE"/>
    <w:rsid w:val="001306E4"/>
    <w:rsid w:val="00131E0F"/>
    <w:rsid w:val="001328C8"/>
    <w:rsid w:val="0013423B"/>
    <w:rsid w:val="00134F74"/>
    <w:rsid w:val="00136356"/>
    <w:rsid w:val="0013681A"/>
    <w:rsid w:val="001369FF"/>
    <w:rsid w:val="00136D53"/>
    <w:rsid w:val="00140089"/>
    <w:rsid w:val="0014056C"/>
    <w:rsid w:val="001408DD"/>
    <w:rsid w:val="00140987"/>
    <w:rsid w:val="001410DE"/>
    <w:rsid w:val="00142434"/>
    <w:rsid w:val="00144EE4"/>
    <w:rsid w:val="001450B9"/>
    <w:rsid w:val="00146A76"/>
    <w:rsid w:val="00146B9A"/>
    <w:rsid w:val="001471B2"/>
    <w:rsid w:val="001471D4"/>
    <w:rsid w:val="00147997"/>
    <w:rsid w:val="0015024C"/>
    <w:rsid w:val="00152E22"/>
    <w:rsid w:val="0015365C"/>
    <w:rsid w:val="00154D0D"/>
    <w:rsid w:val="0015566D"/>
    <w:rsid w:val="001560B9"/>
    <w:rsid w:val="00156A1E"/>
    <w:rsid w:val="00156FFD"/>
    <w:rsid w:val="00157933"/>
    <w:rsid w:val="001608A1"/>
    <w:rsid w:val="00160CA8"/>
    <w:rsid w:val="00160CB4"/>
    <w:rsid w:val="00161267"/>
    <w:rsid w:val="00161531"/>
    <w:rsid w:val="001616BC"/>
    <w:rsid w:val="00161CFF"/>
    <w:rsid w:val="00161D40"/>
    <w:rsid w:val="00161DA3"/>
    <w:rsid w:val="00162435"/>
    <w:rsid w:val="00162D8B"/>
    <w:rsid w:val="001637D7"/>
    <w:rsid w:val="00163D64"/>
    <w:rsid w:val="0016432A"/>
    <w:rsid w:val="0016482D"/>
    <w:rsid w:val="00164ED6"/>
    <w:rsid w:val="001652C8"/>
    <w:rsid w:val="00165631"/>
    <w:rsid w:val="001656BB"/>
    <w:rsid w:val="001670D7"/>
    <w:rsid w:val="001708B6"/>
    <w:rsid w:val="00171392"/>
    <w:rsid w:val="00171559"/>
    <w:rsid w:val="00172ADC"/>
    <w:rsid w:val="001730A9"/>
    <w:rsid w:val="00175B6B"/>
    <w:rsid w:val="00176026"/>
    <w:rsid w:val="001764BB"/>
    <w:rsid w:val="00177487"/>
    <w:rsid w:val="001778BA"/>
    <w:rsid w:val="00177CEC"/>
    <w:rsid w:val="001801B1"/>
    <w:rsid w:val="00180DE7"/>
    <w:rsid w:val="001813B3"/>
    <w:rsid w:val="00181668"/>
    <w:rsid w:val="00181780"/>
    <w:rsid w:val="0018208D"/>
    <w:rsid w:val="001825E7"/>
    <w:rsid w:val="0018438A"/>
    <w:rsid w:val="0018443E"/>
    <w:rsid w:val="00184A4E"/>
    <w:rsid w:val="001851E0"/>
    <w:rsid w:val="001853C2"/>
    <w:rsid w:val="00185A05"/>
    <w:rsid w:val="00185FEE"/>
    <w:rsid w:val="001864A2"/>
    <w:rsid w:val="001866B6"/>
    <w:rsid w:val="00187848"/>
    <w:rsid w:val="00187F43"/>
    <w:rsid w:val="00190182"/>
    <w:rsid w:val="0019057F"/>
    <w:rsid w:val="00191F3F"/>
    <w:rsid w:val="0019365A"/>
    <w:rsid w:val="001953D9"/>
    <w:rsid w:val="00196915"/>
    <w:rsid w:val="001A0476"/>
    <w:rsid w:val="001A0538"/>
    <w:rsid w:val="001A0FCA"/>
    <w:rsid w:val="001A15A7"/>
    <w:rsid w:val="001A3DE7"/>
    <w:rsid w:val="001A65C4"/>
    <w:rsid w:val="001A703C"/>
    <w:rsid w:val="001A70BD"/>
    <w:rsid w:val="001A7DCC"/>
    <w:rsid w:val="001A7F57"/>
    <w:rsid w:val="001B00E7"/>
    <w:rsid w:val="001B1B87"/>
    <w:rsid w:val="001B26F2"/>
    <w:rsid w:val="001B6A93"/>
    <w:rsid w:val="001B7533"/>
    <w:rsid w:val="001C109C"/>
    <w:rsid w:val="001C31F0"/>
    <w:rsid w:val="001C3E8E"/>
    <w:rsid w:val="001C67D3"/>
    <w:rsid w:val="001C70F9"/>
    <w:rsid w:val="001C7893"/>
    <w:rsid w:val="001C7D91"/>
    <w:rsid w:val="001D06C5"/>
    <w:rsid w:val="001D0776"/>
    <w:rsid w:val="001D09BD"/>
    <w:rsid w:val="001D1CE6"/>
    <w:rsid w:val="001D1DF0"/>
    <w:rsid w:val="001D2121"/>
    <w:rsid w:val="001D3404"/>
    <w:rsid w:val="001D5539"/>
    <w:rsid w:val="001D59EF"/>
    <w:rsid w:val="001D6A5D"/>
    <w:rsid w:val="001D71CD"/>
    <w:rsid w:val="001D7B27"/>
    <w:rsid w:val="001E0B5C"/>
    <w:rsid w:val="001E174C"/>
    <w:rsid w:val="001E1FE5"/>
    <w:rsid w:val="001E2AFF"/>
    <w:rsid w:val="001E345D"/>
    <w:rsid w:val="001E39F6"/>
    <w:rsid w:val="001E3C1B"/>
    <w:rsid w:val="001E4164"/>
    <w:rsid w:val="001E4691"/>
    <w:rsid w:val="001E516F"/>
    <w:rsid w:val="001E5607"/>
    <w:rsid w:val="001E5675"/>
    <w:rsid w:val="001E5BFD"/>
    <w:rsid w:val="001E70F0"/>
    <w:rsid w:val="001E79B9"/>
    <w:rsid w:val="001F0C45"/>
    <w:rsid w:val="001F0E74"/>
    <w:rsid w:val="001F139E"/>
    <w:rsid w:val="001F245F"/>
    <w:rsid w:val="001F2532"/>
    <w:rsid w:val="001F25F8"/>
    <w:rsid w:val="001F2BB0"/>
    <w:rsid w:val="001F2BB6"/>
    <w:rsid w:val="001F337F"/>
    <w:rsid w:val="001F3A41"/>
    <w:rsid w:val="001F421A"/>
    <w:rsid w:val="001F46E7"/>
    <w:rsid w:val="001F6864"/>
    <w:rsid w:val="001F7DFE"/>
    <w:rsid w:val="002008FE"/>
    <w:rsid w:val="00201AF3"/>
    <w:rsid w:val="00203CF7"/>
    <w:rsid w:val="00203E0E"/>
    <w:rsid w:val="002047D2"/>
    <w:rsid w:val="002049D9"/>
    <w:rsid w:val="00205850"/>
    <w:rsid w:val="00206BBC"/>
    <w:rsid w:val="002071C3"/>
    <w:rsid w:val="002106C9"/>
    <w:rsid w:val="00210E98"/>
    <w:rsid w:val="00211EEF"/>
    <w:rsid w:val="00212730"/>
    <w:rsid w:val="00213214"/>
    <w:rsid w:val="002140B9"/>
    <w:rsid w:val="00214855"/>
    <w:rsid w:val="00215B5E"/>
    <w:rsid w:val="0021691A"/>
    <w:rsid w:val="00216AA3"/>
    <w:rsid w:val="00221870"/>
    <w:rsid w:val="002230A3"/>
    <w:rsid w:val="00223BB6"/>
    <w:rsid w:val="00223BD3"/>
    <w:rsid w:val="00223D75"/>
    <w:rsid w:val="00225886"/>
    <w:rsid w:val="00225B3C"/>
    <w:rsid w:val="002272FC"/>
    <w:rsid w:val="00227783"/>
    <w:rsid w:val="00227E8F"/>
    <w:rsid w:val="0023041A"/>
    <w:rsid w:val="002332EF"/>
    <w:rsid w:val="00233517"/>
    <w:rsid w:val="00233CAC"/>
    <w:rsid w:val="00234927"/>
    <w:rsid w:val="00234ABD"/>
    <w:rsid w:val="00234FBE"/>
    <w:rsid w:val="00234FC1"/>
    <w:rsid w:val="00235792"/>
    <w:rsid w:val="00236056"/>
    <w:rsid w:val="002363AE"/>
    <w:rsid w:val="0023657F"/>
    <w:rsid w:val="00236F49"/>
    <w:rsid w:val="00237B23"/>
    <w:rsid w:val="00237E16"/>
    <w:rsid w:val="002401A4"/>
    <w:rsid w:val="002404EF"/>
    <w:rsid w:val="00240742"/>
    <w:rsid w:val="00240890"/>
    <w:rsid w:val="0024103C"/>
    <w:rsid w:val="002418C4"/>
    <w:rsid w:val="00241F46"/>
    <w:rsid w:val="0024334D"/>
    <w:rsid w:val="002437BF"/>
    <w:rsid w:val="00243ABB"/>
    <w:rsid w:val="00243AF4"/>
    <w:rsid w:val="002444B8"/>
    <w:rsid w:val="00244CAA"/>
    <w:rsid w:val="00245A2F"/>
    <w:rsid w:val="00245CCD"/>
    <w:rsid w:val="00245E2D"/>
    <w:rsid w:val="00245F4A"/>
    <w:rsid w:val="00246113"/>
    <w:rsid w:val="00247266"/>
    <w:rsid w:val="00247518"/>
    <w:rsid w:val="002479FB"/>
    <w:rsid w:val="002504AA"/>
    <w:rsid w:val="002504C0"/>
    <w:rsid w:val="002515E1"/>
    <w:rsid w:val="002516D9"/>
    <w:rsid w:val="0025278D"/>
    <w:rsid w:val="002536E2"/>
    <w:rsid w:val="00253B8D"/>
    <w:rsid w:val="0025474D"/>
    <w:rsid w:val="0025548A"/>
    <w:rsid w:val="00256532"/>
    <w:rsid w:val="00256680"/>
    <w:rsid w:val="00256758"/>
    <w:rsid w:val="002575B7"/>
    <w:rsid w:val="00257BC9"/>
    <w:rsid w:val="0026150E"/>
    <w:rsid w:val="00261D7B"/>
    <w:rsid w:val="00261FDD"/>
    <w:rsid w:val="0026276C"/>
    <w:rsid w:val="00262D2F"/>
    <w:rsid w:val="00263675"/>
    <w:rsid w:val="002638BB"/>
    <w:rsid w:val="0026442A"/>
    <w:rsid w:val="0026483C"/>
    <w:rsid w:val="002650E7"/>
    <w:rsid w:val="002664F7"/>
    <w:rsid w:val="0026753F"/>
    <w:rsid w:val="002678C2"/>
    <w:rsid w:val="00270292"/>
    <w:rsid w:val="00270705"/>
    <w:rsid w:val="00271240"/>
    <w:rsid w:val="002718A9"/>
    <w:rsid w:val="00271A2C"/>
    <w:rsid w:val="002726E6"/>
    <w:rsid w:val="00273123"/>
    <w:rsid w:val="0027316E"/>
    <w:rsid w:val="002740CA"/>
    <w:rsid w:val="00274153"/>
    <w:rsid w:val="00274683"/>
    <w:rsid w:val="0027477C"/>
    <w:rsid w:val="00274F6E"/>
    <w:rsid w:val="002758D8"/>
    <w:rsid w:val="00275B67"/>
    <w:rsid w:val="00276A6F"/>
    <w:rsid w:val="00277AAF"/>
    <w:rsid w:val="00277FD4"/>
    <w:rsid w:val="002806B7"/>
    <w:rsid w:val="00281775"/>
    <w:rsid w:val="0028179E"/>
    <w:rsid w:val="00281AA6"/>
    <w:rsid w:val="002833D0"/>
    <w:rsid w:val="00285C1C"/>
    <w:rsid w:val="00285CB2"/>
    <w:rsid w:val="00285D9D"/>
    <w:rsid w:val="002860C6"/>
    <w:rsid w:val="00286D70"/>
    <w:rsid w:val="00287E26"/>
    <w:rsid w:val="002908CC"/>
    <w:rsid w:val="00290995"/>
    <w:rsid w:val="002922B8"/>
    <w:rsid w:val="00292AAB"/>
    <w:rsid w:val="00292AEF"/>
    <w:rsid w:val="00292CAA"/>
    <w:rsid w:val="00293545"/>
    <w:rsid w:val="00293E14"/>
    <w:rsid w:val="00295456"/>
    <w:rsid w:val="00296619"/>
    <w:rsid w:val="00296699"/>
    <w:rsid w:val="00297CE2"/>
    <w:rsid w:val="002A00A4"/>
    <w:rsid w:val="002A00F9"/>
    <w:rsid w:val="002A2078"/>
    <w:rsid w:val="002A2153"/>
    <w:rsid w:val="002A2208"/>
    <w:rsid w:val="002A2AAF"/>
    <w:rsid w:val="002A310F"/>
    <w:rsid w:val="002A3BF8"/>
    <w:rsid w:val="002A3F0B"/>
    <w:rsid w:val="002A3FFA"/>
    <w:rsid w:val="002A421A"/>
    <w:rsid w:val="002A564E"/>
    <w:rsid w:val="002A5D95"/>
    <w:rsid w:val="002A5DB0"/>
    <w:rsid w:val="002A63F2"/>
    <w:rsid w:val="002A7007"/>
    <w:rsid w:val="002B01E2"/>
    <w:rsid w:val="002B09DE"/>
    <w:rsid w:val="002B12F1"/>
    <w:rsid w:val="002B18B8"/>
    <w:rsid w:val="002B1CE6"/>
    <w:rsid w:val="002B2899"/>
    <w:rsid w:val="002B4D3C"/>
    <w:rsid w:val="002B5016"/>
    <w:rsid w:val="002B5135"/>
    <w:rsid w:val="002B5881"/>
    <w:rsid w:val="002B5BE4"/>
    <w:rsid w:val="002B6529"/>
    <w:rsid w:val="002B6E49"/>
    <w:rsid w:val="002C05CA"/>
    <w:rsid w:val="002C0B22"/>
    <w:rsid w:val="002C1DA8"/>
    <w:rsid w:val="002C243C"/>
    <w:rsid w:val="002C296F"/>
    <w:rsid w:val="002C2972"/>
    <w:rsid w:val="002C364F"/>
    <w:rsid w:val="002C4010"/>
    <w:rsid w:val="002C44D2"/>
    <w:rsid w:val="002C4507"/>
    <w:rsid w:val="002C48E5"/>
    <w:rsid w:val="002C4A24"/>
    <w:rsid w:val="002C662D"/>
    <w:rsid w:val="002C6DD5"/>
    <w:rsid w:val="002C7038"/>
    <w:rsid w:val="002C7783"/>
    <w:rsid w:val="002D037B"/>
    <w:rsid w:val="002D046C"/>
    <w:rsid w:val="002D15B4"/>
    <w:rsid w:val="002D185A"/>
    <w:rsid w:val="002D1D78"/>
    <w:rsid w:val="002D1F57"/>
    <w:rsid w:val="002D2A91"/>
    <w:rsid w:val="002D32FC"/>
    <w:rsid w:val="002D34FF"/>
    <w:rsid w:val="002D3628"/>
    <w:rsid w:val="002D3F28"/>
    <w:rsid w:val="002D4284"/>
    <w:rsid w:val="002D478F"/>
    <w:rsid w:val="002D50D1"/>
    <w:rsid w:val="002D5583"/>
    <w:rsid w:val="002D5723"/>
    <w:rsid w:val="002D59E9"/>
    <w:rsid w:val="002D5AF4"/>
    <w:rsid w:val="002D700F"/>
    <w:rsid w:val="002D79E9"/>
    <w:rsid w:val="002D7D93"/>
    <w:rsid w:val="002E123C"/>
    <w:rsid w:val="002E1A3C"/>
    <w:rsid w:val="002E206E"/>
    <w:rsid w:val="002E24B9"/>
    <w:rsid w:val="002E2A22"/>
    <w:rsid w:val="002E3F33"/>
    <w:rsid w:val="002E4AB6"/>
    <w:rsid w:val="002E50E3"/>
    <w:rsid w:val="002E556A"/>
    <w:rsid w:val="002E7155"/>
    <w:rsid w:val="002F0C2A"/>
    <w:rsid w:val="002F1CFC"/>
    <w:rsid w:val="002F36BB"/>
    <w:rsid w:val="002F48AA"/>
    <w:rsid w:val="002F48AC"/>
    <w:rsid w:val="002F4AC5"/>
    <w:rsid w:val="002F4DAA"/>
    <w:rsid w:val="002F4F1E"/>
    <w:rsid w:val="002F5213"/>
    <w:rsid w:val="002F7B85"/>
    <w:rsid w:val="002F7BA7"/>
    <w:rsid w:val="002F7CFF"/>
    <w:rsid w:val="0030183C"/>
    <w:rsid w:val="00301F28"/>
    <w:rsid w:val="00302ADA"/>
    <w:rsid w:val="00303AD0"/>
    <w:rsid w:val="0030419C"/>
    <w:rsid w:val="00304399"/>
    <w:rsid w:val="0030440D"/>
    <w:rsid w:val="00304740"/>
    <w:rsid w:val="00304D04"/>
    <w:rsid w:val="0030503D"/>
    <w:rsid w:val="003058C6"/>
    <w:rsid w:val="003058F1"/>
    <w:rsid w:val="003059FD"/>
    <w:rsid w:val="0030792A"/>
    <w:rsid w:val="00311F53"/>
    <w:rsid w:val="00312AD3"/>
    <w:rsid w:val="00312C29"/>
    <w:rsid w:val="00313E78"/>
    <w:rsid w:val="00313F9C"/>
    <w:rsid w:val="00314F83"/>
    <w:rsid w:val="003154DE"/>
    <w:rsid w:val="0031577A"/>
    <w:rsid w:val="00316501"/>
    <w:rsid w:val="0031711A"/>
    <w:rsid w:val="0031770E"/>
    <w:rsid w:val="003210EA"/>
    <w:rsid w:val="0032300C"/>
    <w:rsid w:val="00323607"/>
    <w:rsid w:val="00323CEF"/>
    <w:rsid w:val="00323D93"/>
    <w:rsid w:val="00324522"/>
    <w:rsid w:val="00324AF8"/>
    <w:rsid w:val="00324E43"/>
    <w:rsid w:val="003250CA"/>
    <w:rsid w:val="003257B8"/>
    <w:rsid w:val="003275B3"/>
    <w:rsid w:val="003275C9"/>
    <w:rsid w:val="003276D0"/>
    <w:rsid w:val="00327747"/>
    <w:rsid w:val="00327831"/>
    <w:rsid w:val="00327895"/>
    <w:rsid w:val="00327E98"/>
    <w:rsid w:val="00330680"/>
    <w:rsid w:val="00330689"/>
    <w:rsid w:val="00331F81"/>
    <w:rsid w:val="00332BD5"/>
    <w:rsid w:val="00332D92"/>
    <w:rsid w:val="003331CD"/>
    <w:rsid w:val="00333EF5"/>
    <w:rsid w:val="00334FCD"/>
    <w:rsid w:val="00335731"/>
    <w:rsid w:val="00335BD2"/>
    <w:rsid w:val="00335CFC"/>
    <w:rsid w:val="00335FDD"/>
    <w:rsid w:val="00336698"/>
    <w:rsid w:val="0033708F"/>
    <w:rsid w:val="003372AA"/>
    <w:rsid w:val="00337328"/>
    <w:rsid w:val="003379B7"/>
    <w:rsid w:val="00337C82"/>
    <w:rsid w:val="00337D1A"/>
    <w:rsid w:val="00340410"/>
    <w:rsid w:val="00341DDB"/>
    <w:rsid w:val="003439EC"/>
    <w:rsid w:val="003447BF"/>
    <w:rsid w:val="00344B0C"/>
    <w:rsid w:val="003453AC"/>
    <w:rsid w:val="003453B7"/>
    <w:rsid w:val="003456EA"/>
    <w:rsid w:val="00347301"/>
    <w:rsid w:val="003509D8"/>
    <w:rsid w:val="003513DF"/>
    <w:rsid w:val="003517BF"/>
    <w:rsid w:val="003517E2"/>
    <w:rsid w:val="00353563"/>
    <w:rsid w:val="003539CF"/>
    <w:rsid w:val="003539D5"/>
    <w:rsid w:val="00354518"/>
    <w:rsid w:val="003548F6"/>
    <w:rsid w:val="00354936"/>
    <w:rsid w:val="00355F34"/>
    <w:rsid w:val="00360B4A"/>
    <w:rsid w:val="0036161B"/>
    <w:rsid w:val="003620EE"/>
    <w:rsid w:val="00362A01"/>
    <w:rsid w:val="00362AA0"/>
    <w:rsid w:val="00363894"/>
    <w:rsid w:val="0036441D"/>
    <w:rsid w:val="003670E6"/>
    <w:rsid w:val="003673B8"/>
    <w:rsid w:val="00367488"/>
    <w:rsid w:val="003704BC"/>
    <w:rsid w:val="003705D4"/>
    <w:rsid w:val="003712A8"/>
    <w:rsid w:val="00371C55"/>
    <w:rsid w:val="0037221C"/>
    <w:rsid w:val="00372CDD"/>
    <w:rsid w:val="00372F98"/>
    <w:rsid w:val="003730E5"/>
    <w:rsid w:val="0037345E"/>
    <w:rsid w:val="0037431E"/>
    <w:rsid w:val="0037444F"/>
    <w:rsid w:val="0037492B"/>
    <w:rsid w:val="00376454"/>
    <w:rsid w:val="00376E6B"/>
    <w:rsid w:val="00377C5E"/>
    <w:rsid w:val="00380AC9"/>
    <w:rsid w:val="00380F99"/>
    <w:rsid w:val="0038148A"/>
    <w:rsid w:val="003814D2"/>
    <w:rsid w:val="0038248B"/>
    <w:rsid w:val="00382E34"/>
    <w:rsid w:val="00385AF6"/>
    <w:rsid w:val="00385B5E"/>
    <w:rsid w:val="00385DB1"/>
    <w:rsid w:val="003865BF"/>
    <w:rsid w:val="00387BFB"/>
    <w:rsid w:val="003903BA"/>
    <w:rsid w:val="0039049F"/>
    <w:rsid w:val="00391251"/>
    <w:rsid w:val="00391CBF"/>
    <w:rsid w:val="00391FA7"/>
    <w:rsid w:val="00392271"/>
    <w:rsid w:val="0039243F"/>
    <w:rsid w:val="00393515"/>
    <w:rsid w:val="003936E5"/>
    <w:rsid w:val="00394FDC"/>
    <w:rsid w:val="00395111"/>
    <w:rsid w:val="00396005"/>
    <w:rsid w:val="003962B6"/>
    <w:rsid w:val="00396471"/>
    <w:rsid w:val="00397485"/>
    <w:rsid w:val="003A0D2D"/>
    <w:rsid w:val="003A157A"/>
    <w:rsid w:val="003A1CA9"/>
    <w:rsid w:val="003A22A0"/>
    <w:rsid w:val="003A238B"/>
    <w:rsid w:val="003A31B0"/>
    <w:rsid w:val="003A4916"/>
    <w:rsid w:val="003A4B24"/>
    <w:rsid w:val="003A5AB3"/>
    <w:rsid w:val="003A616E"/>
    <w:rsid w:val="003A6EA0"/>
    <w:rsid w:val="003A7020"/>
    <w:rsid w:val="003B0112"/>
    <w:rsid w:val="003B030C"/>
    <w:rsid w:val="003B0768"/>
    <w:rsid w:val="003B12E1"/>
    <w:rsid w:val="003B12F5"/>
    <w:rsid w:val="003B155E"/>
    <w:rsid w:val="003B2025"/>
    <w:rsid w:val="003B403D"/>
    <w:rsid w:val="003B4186"/>
    <w:rsid w:val="003B43AE"/>
    <w:rsid w:val="003B4A6D"/>
    <w:rsid w:val="003B554A"/>
    <w:rsid w:val="003B5EAE"/>
    <w:rsid w:val="003B6086"/>
    <w:rsid w:val="003B6F25"/>
    <w:rsid w:val="003B707F"/>
    <w:rsid w:val="003B7877"/>
    <w:rsid w:val="003C0548"/>
    <w:rsid w:val="003C0D3E"/>
    <w:rsid w:val="003C1101"/>
    <w:rsid w:val="003C1A89"/>
    <w:rsid w:val="003C1FDE"/>
    <w:rsid w:val="003C2ADE"/>
    <w:rsid w:val="003C2FD4"/>
    <w:rsid w:val="003C43BB"/>
    <w:rsid w:val="003C4BB9"/>
    <w:rsid w:val="003C51CE"/>
    <w:rsid w:val="003C5891"/>
    <w:rsid w:val="003C5CB8"/>
    <w:rsid w:val="003C5EE4"/>
    <w:rsid w:val="003C7426"/>
    <w:rsid w:val="003C78AD"/>
    <w:rsid w:val="003C7AC5"/>
    <w:rsid w:val="003D06B5"/>
    <w:rsid w:val="003D0FAC"/>
    <w:rsid w:val="003D24E4"/>
    <w:rsid w:val="003D3562"/>
    <w:rsid w:val="003D35E4"/>
    <w:rsid w:val="003D3921"/>
    <w:rsid w:val="003D427E"/>
    <w:rsid w:val="003D5694"/>
    <w:rsid w:val="003D5D8B"/>
    <w:rsid w:val="003D5F94"/>
    <w:rsid w:val="003D627C"/>
    <w:rsid w:val="003D692F"/>
    <w:rsid w:val="003D6C0E"/>
    <w:rsid w:val="003D77DF"/>
    <w:rsid w:val="003D7BF1"/>
    <w:rsid w:val="003D7CB5"/>
    <w:rsid w:val="003D7FC8"/>
    <w:rsid w:val="003E079B"/>
    <w:rsid w:val="003E104B"/>
    <w:rsid w:val="003E1132"/>
    <w:rsid w:val="003E13BA"/>
    <w:rsid w:val="003E23C3"/>
    <w:rsid w:val="003E2B07"/>
    <w:rsid w:val="003E2CD9"/>
    <w:rsid w:val="003E2F40"/>
    <w:rsid w:val="003E499F"/>
    <w:rsid w:val="003E4CFF"/>
    <w:rsid w:val="003E5280"/>
    <w:rsid w:val="003E61F1"/>
    <w:rsid w:val="003E7138"/>
    <w:rsid w:val="003E7A55"/>
    <w:rsid w:val="003F01B1"/>
    <w:rsid w:val="003F1410"/>
    <w:rsid w:val="003F1823"/>
    <w:rsid w:val="003F18EF"/>
    <w:rsid w:val="003F2A8C"/>
    <w:rsid w:val="003F3000"/>
    <w:rsid w:val="003F336E"/>
    <w:rsid w:val="003F698E"/>
    <w:rsid w:val="003F6A26"/>
    <w:rsid w:val="003F7389"/>
    <w:rsid w:val="00400481"/>
    <w:rsid w:val="00400E6A"/>
    <w:rsid w:val="00402622"/>
    <w:rsid w:val="00402B19"/>
    <w:rsid w:val="00404624"/>
    <w:rsid w:val="00404B70"/>
    <w:rsid w:val="00405CED"/>
    <w:rsid w:val="00405DA3"/>
    <w:rsid w:val="00405ED8"/>
    <w:rsid w:val="004060A3"/>
    <w:rsid w:val="00406610"/>
    <w:rsid w:val="004066C6"/>
    <w:rsid w:val="00406D84"/>
    <w:rsid w:val="00407ECD"/>
    <w:rsid w:val="004103AB"/>
    <w:rsid w:val="00410A29"/>
    <w:rsid w:val="00410BB9"/>
    <w:rsid w:val="00411996"/>
    <w:rsid w:val="00411CDC"/>
    <w:rsid w:val="00412DC6"/>
    <w:rsid w:val="00413830"/>
    <w:rsid w:val="00413CB8"/>
    <w:rsid w:val="00413DB2"/>
    <w:rsid w:val="00413FEB"/>
    <w:rsid w:val="00414A75"/>
    <w:rsid w:val="0041517A"/>
    <w:rsid w:val="00417894"/>
    <w:rsid w:val="00417AE1"/>
    <w:rsid w:val="0042005F"/>
    <w:rsid w:val="004202F8"/>
    <w:rsid w:val="00420A69"/>
    <w:rsid w:val="004210D1"/>
    <w:rsid w:val="00421609"/>
    <w:rsid w:val="00421618"/>
    <w:rsid w:val="00422C17"/>
    <w:rsid w:val="00422E18"/>
    <w:rsid w:val="00425505"/>
    <w:rsid w:val="00425890"/>
    <w:rsid w:val="00425B13"/>
    <w:rsid w:val="0042623C"/>
    <w:rsid w:val="004267EC"/>
    <w:rsid w:val="00426915"/>
    <w:rsid w:val="00426AFE"/>
    <w:rsid w:val="004275E9"/>
    <w:rsid w:val="00427859"/>
    <w:rsid w:val="0042794B"/>
    <w:rsid w:val="00427FCD"/>
    <w:rsid w:val="0043102F"/>
    <w:rsid w:val="00431625"/>
    <w:rsid w:val="004318F8"/>
    <w:rsid w:val="00431BD5"/>
    <w:rsid w:val="00432D73"/>
    <w:rsid w:val="00432D9A"/>
    <w:rsid w:val="00432F85"/>
    <w:rsid w:val="004331B4"/>
    <w:rsid w:val="004338F3"/>
    <w:rsid w:val="004339F6"/>
    <w:rsid w:val="00433B7C"/>
    <w:rsid w:val="00434598"/>
    <w:rsid w:val="0043469A"/>
    <w:rsid w:val="00434883"/>
    <w:rsid w:val="00434B58"/>
    <w:rsid w:val="0043550A"/>
    <w:rsid w:val="00435A74"/>
    <w:rsid w:val="00435C8F"/>
    <w:rsid w:val="00436CD2"/>
    <w:rsid w:val="004374EB"/>
    <w:rsid w:val="00437FAC"/>
    <w:rsid w:val="00440142"/>
    <w:rsid w:val="004408FF"/>
    <w:rsid w:val="00440B29"/>
    <w:rsid w:val="00441522"/>
    <w:rsid w:val="004419A1"/>
    <w:rsid w:val="00441A97"/>
    <w:rsid w:val="00441CBC"/>
    <w:rsid w:val="00441EA6"/>
    <w:rsid w:val="004438E7"/>
    <w:rsid w:val="004439A5"/>
    <w:rsid w:val="00443C70"/>
    <w:rsid w:val="00443ED8"/>
    <w:rsid w:val="004442B5"/>
    <w:rsid w:val="004443B1"/>
    <w:rsid w:val="00444776"/>
    <w:rsid w:val="00445021"/>
    <w:rsid w:val="00445613"/>
    <w:rsid w:val="004465C6"/>
    <w:rsid w:val="00447DCD"/>
    <w:rsid w:val="004502D4"/>
    <w:rsid w:val="00450742"/>
    <w:rsid w:val="0045099D"/>
    <w:rsid w:val="0045181F"/>
    <w:rsid w:val="004525CF"/>
    <w:rsid w:val="00452AF5"/>
    <w:rsid w:val="00453A33"/>
    <w:rsid w:val="0045478F"/>
    <w:rsid w:val="00454AB3"/>
    <w:rsid w:val="00454E8E"/>
    <w:rsid w:val="00454EE0"/>
    <w:rsid w:val="00455615"/>
    <w:rsid w:val="004558A9"/>
    <w:rsid w:val="0045620D"/>
    <w:rsid w:val="004563BF"/>
    <w:rsid w:val="00456A3C"/>
    <w:rsid w:val="004577FB"/>
    <w:rsid w:val="0046137C"/>
    <w:rsid w:val="00461CDA"/>
    <w:rsid w:val="00461D9C"/>
    <w:rsid w:val="00461E1E"/>
    <w:rsid w:val="00462BD9"/>
    <w:rsid w:val="00463340"/>
    <w:rsid w:val="00463F84"/>
    <w:rsid w:val="00464298"/>
    <w:rsid w:val="00464654"/>
    <w:rsid w:val="004650B1"/>
    <w:rsid w:val="00465860"/>
    <w:rsid w:val="004661C7"/>
    <w:rsid w:val="004661E3"/>
    <w:rsid w:val="00466E68"/>
    <w:rsid w:val="00467023"/>
    <w:rsid w:val="004673B9"/>
    <w:rsid w:val="0046758A"/>
    <w:rsid w:val="00471B0F"/>
    <w:rsid w:val="0047223E"/>
    <w:rsid w:val="00472462"/>
    <w:rsid w:val="0047256B"/>
    <w:rsid w:val="00472EA5"/>
    <w:rsid w:val="00473468"/>
    <w:rsid w:val="00474213"/>
    <w:rsid w:val="004742E3"/>
    <w:rsid w:val="004748B0"/>
    <w:rsid w:val="00474F95"/>
    <w:rsid w:val="004752F0"/>
    <w:rsid w:val="00475809"/>
    <w:rsid w:val="00480D01"/>
    <w:rsid w:val="00482D97"/>
    <w:rsid w:val="004841A4"/>
    <w:rsid w:val="004843CF"/>
    <w:rsid w:val="00484890"/>
    <w:rsid w:val="00484D5F"/>
    <w:rsid w:val="004859B1"/>
    <w:rsid w:val="00485C5C"/>
    <w:rsid w:val="00486281"/>
    <w:rsid w:val="00486766"/>
    <w:rsid w:val="00487AA4"/>
    <w:rsid w:val="00487DEE"/>
    <w:rsid w:val="00490A89"/>
    <w:rsid w:val="00492103"/>
    <w:rsid w:val="00492A36"/>
    <w:rsid w:val="00492C5C"/>
    <w:rsid w:val="00493A11"/>
    <w:rsid w:val="004940D8"/>
    <w:rsid w:val="00494697"/>
    <w:rsid w:val="00494E61"/>
    <w:rsid w:val="00495B7E"/>
    <w:rsid w:val="00495CBA"/>
    <w:rsid w:val="00495DBB"/>
    <w:rsid w:val="00496126"/>
    <w:rsid w:val="00496877"/>
    <w:rsid w:val="004A023A"/>
    <w:rsid w:val="004A0562"/>
    <w:rsid w:val="004A142B"/>
    <w:rsid w:val="004A2863"/>
    <w:rsid w:val="004A2FE3"/>
    <w:rsid w:val="004A362C"/>
    <w:rsid w:val="004A67D7"/>
    <w:rsid w:val="004A6A34"/>
    <w:rsid w:val="004A78E9"/>
    <w:rsid w:val="004A7E98"/>
    <w:rsid w:val="004B0197"/>
    <w:rsid w:val="004B07C3"/>
    <w:rsid w:val="004B09C6"/>
    <w:rsid w:val="004B2233"/>
    <w:rsid w:val="004B2F5D"/>
    <w:rsid w:val="004B31F9"/>
    <w:rsid w:val="004B3759"/>
    <w:rsid w:val="004B4033"/>
    <w:rsid w:val="004B486A"/>
    <w:rsid w:val="004B58F5"/>
    <w:rsid w:val="004B64AF"/>
    <w:rsid w:val="004B691A"/>
    <w:rsid w:val="004B787F"/>
    <w:rsid w:val="004B7898"/>
    <w:rsid w:val="004B7CFB"/>
    <w:rsid w:val="004C0025"/>
    <w:rsid w:val="004C096A"/>
    <w:rsid w:val="004C0D82"/>
    <w:rsid w:val="004C15BD"/>
    <w:rsid w:val="004C1798"/>
    <w:rsid w:val="004C36C6"/>
    <w:rsid w:val="004C3EB7"/>
    <w:rsid w:val="004C41CE"/>
    <w:rsid w:val="004C443E"/>
    <w:rsid w:val="004C485E"/>
    <w:rsid w:val="004C5A4B"/>
    <w:rsid w:val="004C5B41"/>
    <w:rsid w:val="004C5B91"/>
    <w:rsid w:val="004C654B"/>
    <w:rsid w:val="004C6AA1"/>
    <w:rsid w:val="004C6D3B"/>
    <w:rsid w:val="004C7285"/>
    <w:rsid w:val="004D12A5"/>
    <w:rsid w:val="004D1C44"/>
    <w:rsid w:val="004D22A8"/>
    <w:rsid w:val="004D26A6"/>
    <w:rsid w:val="004D278C"/>
    <w:rsid w:val="004D286B"/>
    <w:rsid w:val="004D38CE"/>
    <w:rsid w:val="004D3E8B"/>
    <w:rsid w:val="004D52BE"/>
    <w:rsid w:val="004D5F57"/>
    <w:rsid w:val="004D6094"/>
    <w:rsid w:val="004D753B"/>
    <w:rsid w:val="004D7EB9"/>
    <w:rsid w:val="004E130F"/>
    <w:rsid w:val="004E237E"/>
    <w:rsid w:val="004E277C"/>
    <w:rsid w:val="004E2F31"/>
    <w:rsid w:val="004E3AEB"/>
    <w:rsid w:val="004E3BE8"/>
    <w:rsid w:val="004E4538"/>
    <w:rsid w:val="004E5730"/>
    <w:rsid w:val="004E66C9"/>
    <w:rsid w:val="004E7146"/>
    <w:rsid w:val="004E7463"/>
    <w:rsid w:val="004E77B6"/>
    <w:rsid w:val="004E7C0A"/>
    <w:rsid w:val="004F087B"/>
    <w:rsid w:val="004F08D6"/>
    <w:rsid w:val="004F1E74"/>
    <w:rsid w:val="004F2FD2"/>
    <w:rsid w:val="004F3524"/>
    <w:rsid w:val="004F36AB"/>
    <w:rsid w:val="004F47A8"/>
    <w:rsid w:val="004F50BC"/>
    <w:rsid w:val="004F521E"/>
    <w:rsid w:val="004F5278"/>
    <w:rsid w:val="004F5630"/>
    <w:rsid w:val="004F6792"/>
    <w:rsid w:val="004F726A"/>
    <w:rsid w:val="004F78CE"/>
    <w:rsid w:val="004F7A1A"/>
    <w:rsid w:val="00500066"/>
    <w:rsid w:val="00502165"/>
    <w:rsid w:val="0050287F"/>
    <w:rsid w:val="005038C5"/>
    <w:rsid w:val="00503E88"/>
    <w:rsid w:val="00505669"/>
    <w:rsid w:val="00505C66"/>
    <w:rsid w:val="005076C6"/>
    <w:rsid w:val="00507DB0"/>
    <w:rsid w:val="00510353"/>
    <w:rsid w:val="005104ED"/>
    <w:rsid w:val="005108DF"/>
    <w:rsid w:val="00510ABF"/>
    <w:rsid w:val="0051210D"/>
    <w:rsid w:val="005129D7"/>
    <w:rsid w:val="00512A10"/>
    <w:rsid w:val="00513345"/>
    <w:rsid w:val="0051428E"/>
    <w:rsid w:val="00514AE0"/>
    <w:rsid w:val="00514C00"/>
    <w:rsid w:val="0051575E"/>
    <w:rsid w:val="00516023"/>
    <w:rsid w:val="0051656A"/>
    <w:rsid w:val="005207CB"/>
    <w:rsid w:val="00520A52"/>
    <w:rsid w:val="005212AA"/>
    <w:rsid w:val="005215CB"/>
    <w:rsid w:val="005225BE"/>
    <w:rsid w:val="00522791"/>
    <w:rsid w:val="005233CF"/>
    <w:rsid w:val="00523559"/>
    <w:rsid w:val="005235C5"/>
    <w:rsid w:val="00523C97"/>
    <w:rsid w:val="00524D3B"/>
    <w:rsid w:val="005258B1"/>
    <w:rsid w:val="00527CA1"/>
    <w:rsid w:val="005303F9"/>
    <w:rsid w:val="00530470"/>
    <w:rsid w:val="0053060F"/>
    <w:rsid w:val="00530F7A"/>
    <w:rsid w:val="00531335"/>
    <w:rsid w:val="005317B8"/>
    <w:rsid w:val="00531E60"/>
    <w:rsid w:val="00532530"/>
    <w:rsid w:val="00532678"/>
    <w:rsid w:val="00532796"/>
    <w:rsid w:val="00534FD6"/>
    <w:rsid w:val="00535A9E"/>
    <w:rsid w:val="00536068"/>
    <w:rsid w:val="00537577"/>
    <w:rsid w:val="005377B7"/>
    <w:rsid w:val="0053797B"/>
    <w:rsid w:val="00537F86"/>
    <w:rsid w:val="00540261"/>
    <w:rsid w:val="005404C5"/>
    <w:rsid w:val="00540D46"/>
    <w:rsid w:val="00541DDC"/>
    <w:rsid w:val="005429E3"/>
    <w:rsid w:val="005435FD"/>
    <w:rsid w:val="00543615"/>
    <w:rsid w:val="00544E08"/>
    <w:rsid w:val="0054574F"/>
    <w:rsid w:val="00545999"/>
    <w:rsid w:val="00545A8F"/>
    <w:rsid w:val="00545F07"/>
    <w:rsid w:val="0054704E"/>
    <w:rsid w:val="0055043D"/>
    <w:rsid w:val="00550692"/>
    <w:rsid w:val="005508DB"/>
    <w:rsid w:val="00550970"/>
    <w:rsid w:val="00550B76"/>
    <w:rsid w:val="00550E03"/>
    <w:rsid w:val="00551123"/>
    <w:rsid w:val="00551492"/>
    <w:rsid w:val="005515D7"/>
    <w:rsid w:val="00551C4B"/>
    <w:rsid w:val="00551D52"/>
    <w:rsid w:val="005525F3"/>
    <w:rsid w:val="00552812"/>
    <w:rsid w:val="00552A81"/>
    <w:rsid w:val="00552C0C"/>
    <w:rsid w:val="005536C6"/>
    <w:rsid w:val="0055399F"/>
    <w:rsid w:val="00553E3D"/>
    <w:rsid w:val="005540F3"/>
    <w:rsid w:val="00554926"/>
    <w:rsid w:val="00555A6F"/>
    <w:rsid w:val="0055661F"/>
    <w:rsid w:val="00556897"/>
    <w:rsid w:val="0055796F"/>
    <w:rsid w:val="005606F1"/>
    <w:rsid w:val="00560818"/>
    <w:rsid w:val="00560ED1"/>
    <w:rsid w:val="00561B00"/>
    <w:rsid w:val="0056246A"/>
    <w:rsid w:val="00562D9E"/>
    <w:rsid w:val="00562F3F"/>
    <w:rsid w:val="00563A17"/>
    <w:rsid w:val="00563BAB"/>
    <w:rsid w:val="005642BB"/>
    <w:rsid w:val="0056430D"/>
    <w:rsid w:val="00564CDE"/>
    <w:rsid w:val="00565140"/>
    <w:rsid w:val="00565D70"/>
    <w:rsid w:val="00566160"/>
    <w:rsid w:val="00566328"/>
    <w:rsid w:val="005666BC"/>
    <w:rsid w:val="005676C4"/>
    <w:rsid w:val="00567A36"/>
    <w:rsid w:val="00567B6C"/>
    <w:rsid w:val="00567EE7"/>
    <w:rsid w:val="00570A08"/>
    <w:rsid w:val="00570BBF"/>
    <w:rsid w:val="00571094"/>
    <w:rsid w:val="00571437"/>
    <w:rsid w:val="0057183A"/>
    <w:rsid w:val="00571945"/>
    <w:rsid w:val="00572B4B"/>
    <w:rsid w:val="005737B4"/>
    <w:rsid w:val="00573965"/>
    <w:rsid w:val="00573BFD"/>
    <w:rsid w:val="00573C89"/>
    <w:rsid w:val="0057441F"/>
    <w:rsid w:val="00574F36"/>
    <w:rsid w:val="0057534A"/>
    <w:rsid w:val="00575765"/>
    <w:rsid w:val="0058006A"/>
    <w:rsid w:val="005802C4"/>
    <w:rsid w:val="00580BF4"/>
    <w:rsid w:val="00580F44"/>
    <w:rsid w:val="005819DF"/>
    <w:rsid w:val="00581E43"/>
    <w:rsid w:val="00582FC4"/>
    <w:rsid w:val="0058351A"/>
    <w:rsid w:val="00584F84"/>
    <w:rsid w:val="0058593C"/>
    <w:rsid w:val="005859B5"/>
    <w:rsid w:val="00585AB5"/>
    <w:rsid w:val="005868BF"/>
    <w:rsid w:val="00586EF8"/>
    <w:rsid w:val="0058737F"/>
    <w:rsid w:val="005877F8"/>
    <w:rsid w:val="005901DD"/>
    <w:rsid w:val="00591322"/>
    <w:rsid w:val="005917D3"/>
    <w:rsid w:val="005918E8"/>
    <w:rsid w:val="00591B98"/>
    <w:rsid w:val="00591E24"/>
    <w:rsid w:val="00591FD1"/>
    <w:rsid w:val="005922A3"/>
    <w:rsid w:val="00593200"/>
    <w:rsid w:val="005933B6"/>
    <w:rsid w:val="0059434F"/>
    <w:rsid w:val="00594B8F"/>
    <w:rsid w:val="005955F4"/>
    <w:rsid w:val="0059710B"/>
    <w:rsid w:val="005971A5"/>
    <w:rsid w:val="00597424"/>
    <w:rsid w:val="005A04F4"/>
    <w:rsid w:val="005A08C5"/>
    <w:rsid w:val="005A0B88"/>
    <w:rsid w:val="005A0FC3"/>
    <w:rsid w:val="005A2A58"/>
    <w:rsid w:val="005A2B90"/>
    <w:rsid w:val="005A2FF5"/>
    <w:rsid w:val="005A3047"/>
    <w:rsid w:val="005A30F1"/>
    <w:rsid w:val="005A3131"/>
    <w:rsid w:val="005A31D6"/>
    <w:rsid w:val="005A3A67"/>
    <w:rsid w:val="005A3C1F"/>
    <w:rsid w:val="005A473D"/>
    <w:rsid w:val="005A54E1"/>
    <w:rsid w:val="005A58E1"/>
    <w:rsid w:val="005A5BE6"/>
    <w:rsid w:val="005A686F"/>
    <w:rsid w:val="005A78A8"/>
    <w:rsid w:val="005A7B11"/>
    <w:rsid w:val="005B02C8"/>
    <w:rsid w:val="005B141F"/>
    <w:rsid w:val="005B1743"/>
    <w:rsid w:val="005B186A"/>
    <w:rsid w:val="005B2A43"/>
    <w:rsid w:val="005B3F35"/>
    <w:rsid w:val="005B46F9"/>
    <w:rsid w:val="005B4853"/>
    <w:rsid w:val="005B4FD5"/>
    <w:rsid w:val="005B5057"/>
    <w:rsid w:val="005B51F9"/>
    <w:rsid w:val="005B5FC6"/>
    <w:rsid w:val="005B7D81"/>
    <w:rsid w:val="005C0453"/>
    <w:rsid w:val="005C1667"/>
    <w:rsid w:val="005C223C"/>
    <w:rsid w:val="005C2A65"/>
    <w:rsid w:val="005C3B53"/>
    <w:rsid w:val="005C3EBF"/>
    <w:rsid w:val="005C4288"/>
    <w:rsid w:val="005C43D6"/>
    <w:rsid w:val="005C4A27"/>
    <w:rsid w:val="005C4AA7"/>
    <w:rsid w:val="005C4BDB"/>
    <w:rsid w:val="005C54EC"/>
    <w:rsid w:val="005C5A7A"/>
    <w:rsid w:val="005C65A5"/>
    <w:rsid w:val="005C79E0"/>
    <w:rsid w:val="005D0AFD"/>
    <w:rsid w:val="005D27F2"/>
    <w:rsid w:val="005D2F1F"/>
    <w:rsid w:val="005D304D"/>
    <w:rsid w:val="005D31AB"/>
    <w:rsid w:val="005D3783"/>
    <w:rsid w:val="005D3809"/>
    <w:rsid w:val="005D41F5"/>
    <w:rsid w:val="005D4C08"/>
    <w:rsid w:val="005D59EF"/>
    <w:rsid w:val="005D5A14"/>
    <w:rsid w:val="005D7040"/>
    <w:rsid w:val="005D7CEF"/>
    <w:rsid w:val="005D7E2E"/>
    <w:rsid w:val="005E0319"/>
    <w:rsid w:val="005E0C36"/>
    <w:rsid w:val="005E1353"/>
    <w:rsid w:val="005E1ABD"/>
    <w:rsid w:val="005E1C06"/>
    <w:rsid w:val="005E32F1"/>
    <w:rsid w:val="005E37E2"/>
    <w:rsid w:val="005E3B99"/>
    <w:rsid w:val="005E4D0A"/>
    <w:rsid w:val="005E5036"/>
    <w:rsid w:val="005E50FA"/>
    <w:rsid w:val="005E57C8"/>
    <w:rsid w:val="005E5937"/>
    <w:rsid w:val="005E61B5"/>
    <w:rsid w:val="005E636C"/>
    <w:rsid w:val="005E77EC"/>
    <w:rsid w:val="005F05B6"/>
    <w:rsid w:val="005F1885"/>
    <w:rsid w:val="005F2F25"/>
    <w:rsid w:val="005F3361"/>
    <w:rsid w:val="005F397E"/>
    <w:rsid w:val="005F42ED"/>
    <w:rsid w:val="005F4439"/>
    <w:rsid w:val="005F4C33"/>
    <w:rsid w:val="005F6EEB"/>
    <w:rsid w:val="005F707C"/>
    <w:rsid w:val="005F76A1"/>
    <w:rsid w:val="005F77FD"/>
    <w:rsid w:val="005F79B1"/>
    <w:rsid w:val="005F7C8D"/>
    <w:rsid w:val="0060404B"/>
    <w:rsid w:val="00604DCF"/>
    <w:rsid w:val="00606725"/>
    <w:rsid w:val="0060689B"/>
    <w:rsid w:val="00607354"/>
    <w:rsid w:val="006073AC"/>
    <w:rsid w:val="00607BA1"/>
    <w:rsid w:val="00607CCE"/>
    <w:rsid w:val="0061010C"/>
    <w:rsid w:val="00610EC5"/>
    <w:rsid w:val="00611095"/>
    <w:rsid w:val="00611561"/>
    <w:rsid w:val="006115ED"/>
    <w:rsid w:val="00611D3E"/>
    <w:rsid w:val="00612974"/>
    <w:rsid w:val="0061511E"/>
    <w:rsid w:val="00615FE1"/>
    <w:rsid w:val="00616005"/>
    <w:rsid w:val="00616BE1"/>
    <w:rsid w:val="006171F2"/>
    <w:rsid w:val="0061769B"/>
    <w:rsid w:val="00617B4C"/>
    <w:rsid w:val="0062044E"/>
    <w:rsid w:val="006204A3"/>
    <w:rsid w:val="006208FC"/>
    <w:rsid w:val="006225D9"/>
    <w:rsid w:val="00623088"/>
    <w:rsid w:val="00623524"/>
    <w:rsid w:val="00623739"/>
    <w:rsid w:val="00623FFA"/>
    <w:rsid w:val="00624CCB"/>
    <w:rsid w:val="00624DA3"/>
    <w:rsid w:val="0062511A"/>
    <w:rsid w:val="006256B2"/>
    <w:rsid w:val="00625D86"/>
    <w:rsid w:val="0062612A"/>
    <w:rsid w:val="00626988"/>
    <w:rsid w:val="0062699C"/>
    <w:rsid w:val="00627615"/>
    <w:rsid w:val="006278E0"/>
    <w:rsid w:val="00627B82"/>
    <w:rsid w:val="00630A88"/>
    <w:rsid w:val="00630EA1"/>
    <w:rsid w:val="00631290"/>
    <w:rsid w:val="00631628"/>
    <w:rsid w:val="006320CB"/>
    <w:rsid w:val="006322A6"/>
    <w:rsid w:val="00632470"/>
    <w:rsid w:val="006329B9"/>
    <w:rsid w:val="00632AFC"/>
    <w:rsid w:val="00632CE5"/>
    <w:rsid w:val="006335AA"/>
    <w:rsid w:val="00633942"/>
    <w:rsid w:val="006348DA"/>
    <w:rsid w:val="00634CD6"/>
    <w:rsid w:val="00634E9E"/>
    <w:rsid w:val="00635B90"/>
    <w:rsid w:val="006377D1"/>
    <w:rsid w:val="00637C80"/>
    <w:rsid w:val="00640339"/>
    <w:rsid w:val="006411A5"/>
    <w:rsid w:val="006422D1"/>
    <w:rsid w:val="0064270E"/>
    <w:rsid w:val="00642AEC"/>
    <w:rsid w:val="00645A30"/>
    <w:rsid w:val="00645FB2"/>
    <w:rsid w:val="0064671A"/>
    <w:rsid w:val="00646B13"/>
    <w:rsid w:val="00647A96"/>
    <w:rsid w:val="0065024D"/>
    <w:rsid w:val="0065035C"/>
    <w:rsid w:val="0065073C"/>
    <w:rsid w:val="00652F0A"/>
    <w:rsid w:val="0065326C"/>
    <w:rsid w:val="00653556"/>
    <w:rsid w:val="00654495"/>
    <w:rsid w:val="00654BCD"/>
    <w:rsid w:val="00654FBC"/>
    <w:rsid w:val="00654FCF"/>
    <w:rsid w:val="006551F0"/>
    <w:rsid w:val="006561E0"/>
    <w:rsid w:val="00656294"/>
    <w:rsid w:val="006563CD"/>
    <w:rsid w:val="006568EC"/>
    <w:rsid w:val="006570AD"/>
    <w:rsid w:val="00657E11"/>
    <w:rsid w:val="00660640"/>
    <w:rsid w:val="006606B7"/>
    <w:rsid w:val="00660D47"/>
    <w:rsid w:val="0066104F"/>
    <w:rsid w:val="00661A49"/>
    <w:rsid w:val="00661EC3"/>
    <w:rsid w:val="00661FD9"/>
    <w:rsid w:val="00662FC8"/>
    <w:rsid w:val="006639D2"/>
    <w:rsid w:val="00664009"/>
    <w:rsid w:val="006643FA"/>
    <w:rsid w:val="00664D09"/>
    <w:rsid w:val="006657CE"/>
    <w:rsid w:val="00670650"/>
    <w:rsid w:val="00670AB2"/>
    <w:rsid w:val="00670BFF"/>
    <w:rsid w:val="00670CC8"/>
    <w:rsid w:val="0067145D"/>
    <w:rsid w:val="00671B76"/>
    <w:rsid w:val="00671BAD"/>
    <w:rsid w:val="00672FCF"/>
    <w:rsid w:val="00673303"/>
    <w:rsid w:val="0067471C"/>
    <w:rsid w:val="00674A33"/>
    <w:rsid w:val="00674DF7"/>
    <w:rsid w:val="006754D0"/>
    <w:rsid w:val="00675C96"/>
    <w:rsid w:val="006764A1"/>
    <w:rsid w:val="006777B0"/>
    <w:rsid w:val="006778F7"/>
    <w:rsid w:val="00677917"/>
    <w:rsid w:val="0067795A"/>
    <w:rsid w:val="0068028B"/>
    <w:rsid w:val="006802D8"/>
    <w:rsid w:val="00680874"/>
    <w:rsid w:val="006812D6"/>
    <w:rsid w:val="00682257"/>
    <w:rsid w:val="00682704"/>
    <w:rsid w:val="00682F96"/>
    <w:rsid w:val="006843E4"/>
    <w:rsid w:val="006844FF"/>
    <w:rsid w:val="00684EAF"/>
    <w:rsid w:val="006867B2"/>
    <w:rsid w:val="00687348"/>
    <w:rsid w:val="00687798"/>
    <w:rsid w:val="00687AA3"/>
    <w:rsid w:val="00687ED7"/>
    <w:rsid w:val="00692355"/>
    <w:rsid w:val="006928A7"/>
    <w:rsid w:val="00692FF4"/>
    <w:rsid w:val="006933AB"/>
    <w:rsid w:val="00693B5D"/>
    <w:rsid w:val="00693E1F"/>
    <w:rsid w:val="00694336"/>
    <w:rsid w:val="00694A98"/>
    <w:rsid w:val="00695182"/>
    <w:rsid w:val="006956DB"/>
    <w:rsid w:val="00695B26"/>
    <w:rsid w:val="00695E62"/>
    <w:rsid w:val="00696044"/>
    <w:rsid w:val="006A098A"/>
    <w:rsid w:val="006A0A46"/>
    <w:rsid w:val="006A0FAC"/>
    <w:rsid w:val="006A2304"/>
    <w:rsid w:val="006A2CF2"/>
    <w:rsid w:val="006A449C"/>
    <w:rsid w:val="006A4BA4"/>
    <w:rsid w:val="006A4EC8"/>
    <w:rsid w:val="006A4EE1"/>
    <w:rsid w:val="006A599B"/>
    <w:rsid w:val="006A650D"/>
    <w:rsid w:val="006A6D40"/>
    <w:rsid w:val="006A75D9"/>
    <w:rsid w:val="006A7DC9"/>
    <w:rsid w:val="006B0EAF"/>
    <w:rsid w:val="006B1377"/>
    <w:rsid w:val="006B1B44"/>
    <w:rsid w:val="006B1B64"/>
    <w:rsid w:val="006B1E24"/>
    <w:rsid w:val="006B1F50"/>
    <w:rsid w:val="006B2BA2"/>
    <w:rsid w:val="006B5949"/>
    <w:rsid w:val="006B5DCE"/>
    <w:rsid w:val="006B61CC"/>
    <w:rsid w:val="006B633A"/>
    <w:rsid w:val="006B6C1C"/>
    <w:rsid w:val="006B6FA0"/>
    <w:rsid w:val="006B705D"/>
    <w:rsid w:val="006B79DF"/>
    <w:rsid w:val="006C0AEC"/>
    <w:rsid w:val="006C0D33"/>
    <w:rsid w:val="006C0FA6"/>
    <w:rsid w:val="006C14A8"/>
    <w:rsid w:val="006C1FAC"/>
    <w:rsid w:val="006C348B"/>
    <w:rsid w:val="006C4C60"/>
    <w:rsid w:val="006C5839"/>
    <w:rsid w:val="006C5C0F"/>
    <w:rsid w:val="006C5FAA"/>
    <w:rsid w:val="006C63BD"/>
    <w:rsid w:val="006C72FE"/>
    <w:rsid w:val="006C770D"/>
    <w:rsid w:val="006D267D"/>
    <w:rsid w:val="006D2BDC"/>
    <w:rsid w:val="006D2F9F"/>
    <w:rsid w:val="006D3D16"/>
    <w:rsid w:val="006D4A2F"/>
    <w:rsid w:val="006D4C8C"/>
    <w:rsid w:val="006D4D08"/>
    <w:rsid w:val="006D57CF"/>
    <w:rsid w:val="006D585E"/>
    <w:rsid w:val="006D6545"/>
    <w:rsid w:val="006D6805"/>
    <w:rsid w:val="006D68B9"/>
    <w:rsid w:val="006D6F56"/>
    <w:rsid w:val="006D7E84"/>
    <w:rsid w:val="006E09A9"/>
    <w:rsid w:val="006E1A8E"/>
    <w:rsid w:val="006E31B2"/>
    <w:rsid w:val="006E335D"/>
    <w:rsid w:val="006E3733"/>
    <w:rsid w:val="006E4C5B"/>
    <w:rsid w:val="006E5AF1"/>
    <w:rsid w:val="006E5FAC"/>
    <w:rsid w:val="006E5FB1"/>
    <w:rsid w:val="006E672C"/>
    <w:rsid w:val="006E71B4"/>
    <w:rsid w:val="006F0180"/>
    <w:rsid w:val="006F19B5"/>
    <w:rsid w:val="006F1AD4"/>
    <w:rsid w:val="006F1DCB"/>
    <w:rsid w:val="006F2514"/>
    <w:rsid w:val="006F29BA"/>
    <w:rsid w:val="006F2AC1"/>
    <w:rsid w:val="006F2AEB"/>
    <w:rsid w:val="006F2B22"/>
    <w:rsid w:val="006F2DCB"/>
    <w:rsid w:val="006F440A"/>
    <w:rsid w:val="006F4BA1"/>
    <w:rsid w:val="006F6435"/>
    <w:rsid w:val="006F71DC"/>
    <w:rsid w:val="00700AED"/>
    <w:rsid w:val="00700FAB"/>
    <w:rsid w:val="00700FBD"/>
    <w:rsid w:val="00701357"/>
    <w:rsid w:val="007014C1"/>
    <w:rsid w:val="007014D0"/>
    <w:rsid w:val="007015F7"/>
    <w:rsid w:val="00701A83"/>
    <w:rsid w:val="007028F0"/>
    <w:rsid w:val="00702A54"/>
    <w:rsid w:val="007033C6"/>
    <w:rsid w:val="00703D2C"/>
    <w:rsid w:val="007046E9"/>
    <w:rsid w:val="007047A8"/>
    <w:rsid w:val="007049FC"/>
    <w:rsid w:val="00705252"/>
    <w:rsid w:val="00705463"/>
    <w:rsid w:val="00705D6E"/>
    <w:rsid w:val="00706257"/>
    <w:rsid w:val="00706391"/>
    <w:rsid w:val="007066D7"/>
    <w:rsid w:val="00707A02"/>
    <w:rsid w:val="00710395"/>
    <w:rsid w:val="00710D1D"/>
    <w:rsid w:val="00710EF6"/>
    <w:rsid w:val="00711B2C"/>
    <w:rsid w:val="007139F3"/>
    <w:rsid w:val="00715110"/>
    <w:rsid w:val="00715291"/>
    <w:rsid w:val="007159A1"/>
    <w:rsid w:val="00715A95"/>
    <w:rsid w:val="0071715C"/>
    <w:rsid w:val="007172A3"/>
    <w:rsid w:val="007202E6"/>
    <w:rsid w:val="00721369"/>
    <w:rsid w:val="007213C6"/>
    <w:rsid w:val="0072186C"/>
    <w:rsid w:val="00721C57"/>
    <w:rsid w:val="0072229A"/>
    <w:rsid w:val="00722583"/>
    <w:rsid w:val="00722943"/>
    <w:rsid w:val="00722F42"/>
    <w:rsid w:val="007234BC"/>
    <w:rsid w:val="0072361D"/>
    <w:rsid w:val="00723CE5"/>
    <w:rsid w:val="00724048"/>
    <w:rsid w:val="007243B3"/>
    <w:rsid w:val="00724BDF"/>
    <w:rsid w:val="00725C8B"/>
    <w:rsid w:val="00725FFD"/>
    <w:rsid w:val="00726A37"/>
    <w:rsid w:val="00727219"/>
    <w:rsid w:val="00727292"/>
    <w:rsid w:val="00731C91"/>
    <w:rsid w:val="00731CD9"/>
    <w:rsid w:val="0073305A"/>
    <w:rsid w:val="0073383C"/>
    <w:rsid w:val="00733E32"/>
    <w:rsid w:val="0073400C"/>
    <w:rsid w:val="00734420"/>
    <w:rsid w:val="00734438"/>
    <w:rsid w:val="007344E4"/>
    <w:rsid w:val="00735288"/>
    <w:rsid w:val="00736683"/>
    <w:rsid w:val="00736948"/>
    <w:rsid w:val="00736DC6"/>
    <w:rsid w:val="00737DCF"/>
    <w:rsid w:val="00741323"/>
    <w:rsid w:val="007419A1"/>
    <w:rsid w:val="007420B8"/>
    <w:rsid w:val="00742441"/>
    <w:rsid w:val="0074303D"/>
    <w:rsid w:val="00743989"/>
    <w:rsid w:val="00743A46"/>
    <w:rsid w:val="0074486C"/>
    <w:rsid w:val="00745C2B"/>
    <w:rsid w:val="00746D34"/>
    <w:rsid w:val="00746EB4"/>
    <w:rsid w:val="00747503"/>
    <w:rsid w:val="00747509"/>
    <w:rsid w:val="007478E4"/>
    <w:rsid w:val="00750C90"/>
    <w:rsid w:val="00750F9D"/>
    <w:rsid w:val="007514B1"/>
    <w:rsid w:val="007521DE"/>
    <w:rsid w:val="00752343"/>
    <w:rsid w:val="007529ED"/>
    <w:rsid w:val="00752A6F"/>
    <w:rsid w:val="0075441B"/>
    <w:rsid w:val="00755D8C"/>
    <w:rsid w:val="0075663D"/>
    <w:rsid w:val="0075664F"/>
    <w:rsid w:val="0075702C"/>
    <w:rsid w:val="00757361"/>
    <w:rsid w:val="00760129"/>
    <w:rsid w:val="007613C3"/>
    <w:rsid w:val="00761627"/>
    <w:rsid w:val="00761C59"/>
    <w:rsid w:val="00762F64"/>
    <w:rsid w:val="00763967"/>
    <w:rsid w:val="007645E6"/>
    <w:rsid w:val="00764DE0"/>
    <w:rsid w:val="00765AEA"/>
    <w:rsid w:val="00766186"/>
    <w:rsid w:val="00767AE4"/>
    <w:rsid w:val="00767DA2"/>
    <w:rsid w:val="00770BCA"/>
    <w:rsid w:val="007721EB"/>
    <w:rsid w:val="0077270C"/>
    <w:rsid w:val="00772940"/>
    <w:rsid w:val="00772C38"/>
    <w:rsid w:val="00772D31"/>
    <w:rsid w:val="007731F9"/>
    <w:rsid w:val="00773342"/>
    <w:rsid w:val="007734B2"/>
    <w:rsid w:val="0077359E"/>
    <w:rsid w:val="0077395B"/>
    <w:rsid w:val="00773C81"/>
    <w:rsid w:val="00774D7C"/>
    <w:rsid w:val="00775CAE"/>
    <w:rsid w:val="00780F75"/>
    <w:rsid w:val="00782EC5"/>
    <w:rsid w:val="007832E9"/>
    <w:rsid w:val="0078345D"/>
    <w:rsid w:val="00785332"/>
    <w:rsid w:val="00785913"/>
    <w:rsid w:val="00786520"/>
    <w:rsid w:val="00791A1F"/>
    <w:rsid w:val="00791C48"/>
    <w:rsid w:val="00792011"/>
    <w:rsid w:val="007928D1"/>
    <w:rsid w:val="00793075"/>
    <w:rsid w:val="00794093"/>
    <w:rsid w:val="007945B4"/>
    <w:rsid w:val="007953CF"/>
    <w:rsid w:val="00795CA8"/>
    <w:rsid w:val="00795FC3"/>
    <w:rsid w:val="00796D24"/>
    <w:rsid w:val="007A1AFC"/>
    <w:rsid w:val="007A1B56"/>
    <w:rsid w:val="007A1C10"/>
    <w:rsid w:val="007A2423"/>
    <w:rsid w:val="007A2B32"/>
    <w:rsid w:val="007A34DF"/>
    <w:rsid w:val="007A4315"/>
    <w:rsid w:val="007A588A"/>
    <w:rsid w:val="007A59E0"/>
    <w:rsid w:val="007A5DEE"/>
    <w:rsid w:val="007A6B23"/>
    <w:rsid w:val="007A6E22"/>
    <w:rsid w:val="007A6E58"/>
    <w:rsid w:val="007A6EB4"/>
    <w:rsid w:val="007A7E14"/>
    <w:rsid w:val="007B0DB0"/>
    <w:rsid w:val="007B14F3"/>
    <w:rsid w:val="007B15CB"/>
    <w:rsid w:val="007B17F7"/>
    <w:rsid w:val="007B2ABF"/>
    <w:rsid w:val="007B30C9"/>
    <w:rsid w:val="007B4695"/>
    <w:rsid w:val="007B4862"/>
    <w:rsid w:val="007B4BE4"/>
    <w:rsid w:val="007B54FD"/>
    <w:rsid w:val="007B719E"/>
    <w:rsid w:val="007B7A90"/>
    <w:rsid w:val="007C32E0"/>
    <w:rsid w:val="007C54A3"/>
    <w:rsid w:val="007C60C1"/>
    <w:rsid w:val="007C76C4"/>
    <w:rsid w:val="007C7FA8"/>
    <w:rsid w:val="007D0B58"/>
    <w:rsid w:val="007D1F80"/>
    <w:rsid w:val="007D1FB0"/>
    <w:rsid w:val="007D2B27"/>
    <w:rsid w:val="007D3717"/>
    <w:rsid w:val="007D3DD0"/>
    <w:rsid w:val="007D4261"/>
    <w:rsid w:val="007D46BA"/>
    <w:rsid w:val="007D5010"/>
    <w:rsid w:val="007D537C"/>
    <w:rsid w:val="007D5D03"/>
    <w:rsid w:val="007D6102"/>
    <w:rsid w:val="007D6BE3"/>
    <w:rsid w:val="007D7AD5"/>
    <w:rsid w:val="007D7CD0"/>
    <w:rsid w:val="007E0ABF"/>
    <w:rsid w:val="007E0DED"/>
    <w:rsid w:val="007E13EB"/>
    <w:rsid w:val="007E195E"/>
    <w:rsid w:val="007E2B7E"/>
    <w:rsid w:val="007E3074"/>
    <w:rsid w:val="007E4A70"/>
    <w:rsid w:val="007E5894"/>
    <w:rsid w:val="007E5A42"/>
    <w:rsid w:val="007E645B"/>
    <w:rsid w:val="007E727A"/>
    <w:rsid w:val="007E7672"/>
    <w:rsid w:val="007F0378"/>
    <w:rsid w:val="007F039D"/>
    <w:rsid w:val="007F1875"/>
    <w:rsid w:val="007F18C4"/>
    <w:rsid w:val="007F3D7D"/>
    <w:rsid w:val="007F5CF7"/>
    <w:rsid w:val="007F6C54"/>
    <w:rsid w:val="007F7017"/>
    <w:rsid w:val="007F712D"/>
    <w:rsid w:val="007F7E0E"/>
    <w:rsid w:val="00800195"/>
    <w:rsid w:val="00801A37"/>
    <w:rsid w:val="008043A3"/>
    <w:rsid w:val="00804F5F"/>
    <w:rsid w:val="00804FAA"/>
    <w:rsid w:val="008058C3"/>
    <w:rsid w:val="00805D62"/>
    <w:rsid w:val="00806A08"/>
    <w:rsid w:val="00806BE7"/>
    <w:rsid w:val="00810754"/>
    <w:rsid w:val="00810E5C"/>
    <w:rsid w:val="00811EBD"/>
    <w:rsid w:val="00812745"/>
    <w:rsid w:val="008135EC"/>
    <w:rsid w:val="008135F1"/>
    <w:rsid w:val="00814026"/>
    <w:rsid w:val="0081428A"/>
    <w:rsid w:val="0081437F"/>
    <w:rsid w:val="008144C4"/>
    <w:rsid w:val="00815640"/>
    <w:rsid w:val="008161F5"/>
    <w:rsid w:val="008173A7"/>
    <w:rsid w:val="00817B12"/>
    <w:rsid w:val="00817C2C"/>
    <w:rsid w:val="00817D81"/>
    <w:rsid w:val="00820578"/>
    <w:rsid w:val="00820930"/>
    <w:rsid w:val="00820B1F"/>
    <w:rsid w:val="00821169"/>
    <w:rsid w:val="00821A87"/>
    <w:rsid w:val="00821E1C"/>
    <w:rsid w:val="00821EC4"/>
    <w:rsid w:val="008226B6"/>
    <w:rsid w:val="00823398"/>
    <w:rsid w:val="0082380D"/>
    <w:rsid w:val="00823992"/>
    <w:rsid w:val="00823C50"/>
    <w:rsid w:val="00825C78"/>
    <w:rsid w:val="00826F1F"/>
    <w:rsid w:val="00827065"/>
    <w:rsid w:val="00827EAD"/>
    <w:rsid w:val="0083074A"/>
    <w:rsid w:val="008313DA"/>
    <w:rsid w:val="00831A8B"/>
    <w:rsid w:val="00832E7E"/>
    <w:rsid w:val="00833EB9"/>
    <w:rsid w:val="00834014"/>
    <w:rsid w:val="0083468B"/>
    <w:rsid w:val="008349E6"/>
    <w:rsid w:val="008355E0"/>
    <w:rsid w:val="00836411"/>
    <w:rsid w:val="00836D9B"/>
    <w:rsid w:val="00836DC4"/>
    <w:rsid w:val="00836ED6"/>
    <w:rsid w:val="00837705"/>
    <w:rsid w:val="00840B0A"/>
    <w:rsid w:val="00840B93"/>
    <w:rsid w:val="00840E23"/>
    <w:rsid w:val="00841845"/>
    <w:rsid w:val="008418F3"/>
    <w:rsid w:val="008418F6"/>
    <w:rsid w:val="00841A0A"/>
    <w:rsid w:val="00841F85"/>
    <w:rsid w:val="00842C3C"/>
    <w:rsid w:val="0084302A"/>
    <w:rsid w:val="0084385B"/>
    <w:rsid w:val="00843D9C"/>
    <w:rsid w:val="00845605"/>
    <w:rsid w:val="008466E3"/>
    <w:rsid w:val="008475DC"/>
    <w:rsid w:val="00847752"/>
    <w:rsid w:val="00847ECD"/>
    <w:rsid w:val="00850544"/>
    <w:rsid w:val="00850734"/>
    <w:rsid w:val="00851CDF"/>
    <w:rsid w:val="00851F33"/>
    <w:rsid w:val="00851F89"/>
    <w:rsid w:val="00853A37"/>
    <w:rsid w:val="00853D14"/>
    <w:rsid w:val="00853EB3"/>
    <w:rsid w:val="00854656"/>
    <w:rsid w:val="008546D7"/>
    <w:rsid w:val="00854AAB"/>
    <w:rsid w:val="00854CA5"/>
    <w:rsid w:val="00856017"/>
    <w:rsid w:val="00856280"/>
    <w:rsid w:val="00856574"/>
    <w:rsid w:val="00857551"/>
    <w:rsid w:val="00857BB1"/>
    <w:rsid w:val="00862591"/>
    <w:rsid w:val="00863647"/>
    <w:rsid w:val="00863C8E"/>
    <w:rsid w:val="00863D5B"/>
    <w:rsid w:val="0086411E"/>
    <w:rsid w:val="00864252"/>
    <w:rsid w:val="00864314"/>
    <w:rsid w:val="008649D1"/>
    <w:rsid w:val="00864DDF"/>
    <w:rsid w:val="008660B9"/>
    <w:rsid w:val="00866DA7"/>
    <w:rsid w:val="00866DCB"/>
    <w:rsid w:val="0086754D"/>
    <w:rsid w:val="00867D6E"/>
    <w:rsid w:val="00870FB7"/>
    <w:rsid w:val="008710E9"/>
    <w:rsid w:val="00871774"/>
    <w:rsid w:val="00871CA0"/>
    <w:rsid w:val="008720E5"/>
    <w:rsid w:val="00872E67"/>
    <w:rsid w:val="00874949"/>
    <w:rsid w:val="00881569"/>
    <w:rsid w:val="008819D4"/>
    <w:rsid w:val="00882A65"/>
    <w:rsid w:val="00883BE6"/>
    <w:rsid w:val="008846ED"/>
    <w:rsid w:val="0088470B"/>
    <w:rsid w:val="00884B0B"/>
    <w:rsid w:val="00886123"/>
    <w:rsid w:val="008869C4"/>
    <w:rsid w:val="00886B8B"/>
    <w:rsid w:val="008871CF"/>
    <w:rsid w:val="008878FC"/>
    <w:rsid w:val="00890573"/>
    <w:rsid w:val="00890E92"/>
    <w:rsid w:val="00892132"/>
    <w:rsid w:val="00892470"/>
    <w:rsid w:val="0089388E"/>
    <w:rsid w:val="00893DA9"/>
    <w:rsid w:val="00894478"/>
    <w:rsid w:val="008945F8"/>
    <w:rsid w:val="00896120"/>
    <w:rsid w:val="0089676C"/>
    <w:rsid w:val="00897863"/>
    <w:rsid w:val="00897D64"/>
    <w:rsid w:val="008A2477"/>
    <w:rsid w:val="008A262F"/>
    <w:rsid w:val="008A28A2"/>
    <w:rsid w:val="008A5AB9"/>
    <w:rsid w:val="008A7463"/>
    <w:rsid w:val="008A748C"/>
    <w:rsid w:val="008A760C"/>
    <w:rsid w:val="008A763D"/>
    <w:rsid w:val="008A7E4D"/>
    <w:rsid w:val="008B0219"/>
    <w:rsid w:val="008B1291"/>
    <w:rsid w:val="008B181D"/>
    <w:rsid w:val="008B19A9"/>
    <w:rsid w:val="008B2A73"/>
    <w:rsid w:val="008B32C3"/>
    <w:rsid w:val="008B4B06"/>
    <w:rsid w:val="008B5338"/>
    <w:rsid w:val="008B5537"/>
    <w:rsid w:val="008B5BEF"/>
    <w:rsid w:val="008B6640"/>
    <w:rsid w:val="008B6803"/>
    <w:rsid w:val="008B6BFF"/>
    <w:rsid w:val="008B7267"/>
    <w:rsid w:val="008B77F9"/>
    <w:rsid w:val="008B7E6B"/>
    <w:rsid w:val="008C0184"/>
    <w:rsid w:val="008C10A9"/>
    <w:rsid w:val="008C35F5"/>
    <w:rsid w:val="008C40DD"/>
    <w:rsid w:val="008C5320"/>
    <w:rsid w:val="008C5715"/>
    <w:rsid w:val="008C5747"/>
    <w:rsid w:val="008C639B"/>
    <w:rsid w:val="008C6D25"/>
    <w:rsid w:val="008C7F15"/>
    <w:rsid w:val="008D001E"/>
    <w:rsid w:val="008D0337"/>
    <w:rsid w:val="008D0BA8"/>
    <w:rsid w:val="008D1856"/>
    <w:rsid w:val="008D277C"/>
    <w:rsid w:val="008D2B91"/>
    <w:rsid w:val="008D36FA"/>
    <w:rsid w:val="008D4549"/>
    <w:rsid w:val="008D45C6"/>
    <w:rsid w:val="008D4870"/>
    <w:rsid w:val="008D4E64"/>
    <w:rsid w:val="008D5C3F"/>
    <w:rsid w:val="008D667E"/>
    <w:rsid w:val="008D6821"/>
    <w:rsid w:val="008D6C84"/>
    <w:rsid w:val="008D76C0"/>
    <w:rsid w:val="008D7D37"/>
    <w:rsid w:val="008D7D6B"/>
    <w:rsid w:val="008D7FC7"/>
    <w:rsid w:val="008E04BD"/>
    <w:rsid w:val="008E09E7"/>
    <w:rsid w:val="008E0B9D"/>
    <w:rsid w:val="008E0CB3"/>
    <w:rsid w:val="008E1610"/>
    <w:rsid w:val="008E271A"/>
    <w:rsid w:val="008E28DD"/>
    <w:rsid w:val="008E32E0"/>
    <w:rsid w:val="008E3A6F"/>
    <w:rsid w:val="008E3AFB"/>
    <w:rsid w:val="008E3E38"/>
    <w:rsid w:val="008E3FDF"/>
    <w:rsid w:val="008E4839"/>
    <w:rsid w:val="008E490E"/>
    <w:rsid w:val="008E7B9F"/>
    <w:rsid w:val="008F0684"/>
    <w:rsid w:val="008F0BD1"/>
    <w:rsid w:val="008F0BD8"/>
    <w:rsid w:val="008F2568"/>
    <w:rsid w:val="008F3745"/>
    <w:rsid w:val="008F3D10"/>
    <w:rsid w:val="008F4913"/>
    <w:rsid w:val="008F4CA7"/>
    <w:rsid w:val="008F589F"/>
    <w:rsid w:val="008F5A62"/>
    <w:rsid w:val="008F601C"/>
    <w:rsid w:val="008F71B0"/>
    <w:rsid w:val="008F7C77"/>
    <w:rsid w:val="00900943"/>
    <w:rsid w:val="00900C82"/>
    <w:rsid w:val="00901E23"/>
    <w:rsid w:val="0090388F"/>
    <w:rsid w:val="00904BBE"/>
    <w:rsid w:val="00904DC5"/>
    <w:rsid w:val="009050AB"/>
    <w:rsid w:val="009066A7"/>
    <w:rsid w:val="00906D53"/>
    <w:rsid w:val="00910B9F"/>
    <w:rsid w:val="00910D53"/>
    <w:rsid w:val="00910E7B"/>
    <w:rsid w:val="00912051"/>
    <w:rsid w:val="00913832"/>
    <w:rsid w:val="00913B00"/>
    <w:rsid w:val="00913CDD"/>
    <w:rsid w:val="00914208"/>
    <w:rsid w:val="00914B8E"/>
    <w:rsid w:val="00914EFB"/>
    <w:rsid w:val="00916C78"/>
    <w:rsid w:val="00916D39"/>
    <w:rsid w:val="00917494"/>
    <w:rsid w:val="00920A48"/>
    <w:rsid w:val="00920C37"/>
    <w:rsid w:val="00921F68"/>
    <w:rsid w:val="00923766"/>
    <w:rsid w:val="009237D0"/>
    <w:rsid w:val="00923A3D"/>
    <w:rsid w:val="00924020"/>
    <w:rsid w:val="009246A9"/>
    <w:rsid w:val="00924DC1"/>
    <w:rsid w:val="00924E39"/>
    <w:rsid w:val="009254EB"/>
    <w:rsid w:val="00925A38"/>
    <w:rsid w:val="00925B08"/>
    <w:rsid w:val="00930410"/>
    <w:rsid w:val="00930E5C"/>
    <w:rsid w:val="009312DB"/>
    <w:rsid w:val="00931AFB"/>
    <w:rsid w:val="0093236D"/>
    <w:rsid w:val="00932D8E"/>
    <w:rsid w:val="00933B7C"/>
    <w:rsid w:val="0093415D"/>
    <w:rsid w:val="009341A1"/>
    <w:rsid w:val="0093430C"/>
    <w:rsid w:val="0093494E"/>
    <w:rsid w:val="00934DA3"/>
    <w:rsid w:val="00934E0E"/>
    <w:rsid w:val="00935C03"/>
    <w:rsid w:val="0093626C"/>
    <w:rsid w:val="009369B6"/>
    <w:rsid w:val="00936C4D"/>
    <w:rsid w:val="009370FD"/>
    <w:rsid w:val="00937720"/>
    <w:rsid w:val="0094039C"/>
    <w:rsid w:val="0094095B"/>
    <w:rsid w:val="0094128F"/>
    <w:rsid w:val="00941AC2"/>
    <w:rsid w:val="00941CDC"/>
    <w:rsid w:val="00941FF1"/>
    <w:rsid w:val="00942484"/>
    <w:rsid w:val="00943372"/>
    <w:rsid w:val="0094355C"/>
    <w:rsid w:val="0094424A"/>
    <w:rsid w:val="00944CC7"/>
    <w:rsid w:val="00946F98"/>
    <w:rsid w:val="0094771A"/>
    <w:rsid w:val="0095000B"/>
    <w:rsid w:val="009506F3"/>
    <w:rsid w:val="00950B08"/>
    <w:rsid w:val="009526DC"/>
    <w:rsid w:val="00953334"/>
    <w:rsid w:val="009545A8"/>
    <w:rsid w:val="00954AB8"/>
    <w:rsid w:val="00954B1E"/>
    <w:rsid w:val="00954EE9"/>
    <w:rsid w:val="009551F5"/>
    <w:rsid w:val="00955DE9"/>
    <w:rsid w:val="00956F4B"/>
    <w:rsid w:val="009572D5"/>
    <w:rsid w:val="00957BF2"/>
    <w:rsid w:val="00957C6E"/>
    <w:rsid w:val="00957D0C"/>
    <w:rsid w:val="0096038F"/>
    <w:rsid w:val="00960A7B"/>
    <w:rsid w:val="00960BD6"/>
    <w:rsid w:val="00961D6A"/>
    <w:rsid w:val="00961DDE"/>
    <w:rsid w:val="00962652"/>
    <w:rsid w:val="0096282A"/>
    <w:rsid w:val="009633D2"/>
    <w:rsid w:val="00963731"/>
    <w:rsid w:val="00964C9C"/>
    <w:rsid w:val="00965250"/>
    <w:rsid w:val="009653DD"/>
    <w:rsid w:val="00965792"/>
    <w:rsid w:val="0097098E"/>
    <w:rsid w:val="00970FEC"/>
    <w:rsid w:val="0097140A"/>
    <w:rsid w:val="00971BC1"/>
    <w:rsid w:val="00972617"/>
    <w:rsid w:val="0097318E"/>
    <w:rsid w:val="00973331"/>
    <w:rsid w:val="00973485"/>
    <w:rsid w:val="0097563E"/>
    <w:rsid w:val="00976078"/>
    <w:rsid w:val="00976125"/>
    <w:rsid w:val="009765A3"/>
    <w:rsid w:val="00977FAD"/>
    <w:rsid w:val="009805DB"/>
    <w:rsid w:val="00980AEC"/>
    <w:rsid w:val="009837D4"/>
    <w:rsid w:val="00984A7D"/>
    <w:rsid w:val="00984B9E"/>
    <w:rsid w:val="00985108"/>
    <w:rsid w:val="00986781"/>
    <w:rsid w:val="0098692D"/>
    <w:rsid w:val="0098708A"/>
    <w:rsid w:val="0098762D"/>
    <w:rsid w:val="00987C8D"/>
    <w:rsid w:val="009908F8"/>
    <w:rsid w:val="00990B62"/>
    <w:rsid w:val="00991056"/>
    <w:rsid w:val="00991477"/>
    <w:rsid w:val="009915C1"/>
    <w:rsid w:val="00991B10"/>
    <w:rsid w:val="0099211A"/>
    <w:rsid w:val="00992A60"/>
    <w:rsid w:val="00993001"/>
    <w:rsid w:val="00993A84"/>
    <w:rsid w:val="00993DC9"/>
    <w:rsid w:val="00994339"/>
    <w:rsid w:val="0099453A"/>
    <w:rsid w:val="00994F12"/>
    <w:rsid w:val="009950F1"/>
    <w:rsid w:val="00995887"/>
    <w:rsid w:val="0099636D"/>
    <w:rsid w:val="0099670B"/>
    <w:rsid w:val="00997610"/>
    <w:rsid w:val="009A029B"/>
    <w:rsid w:val="009A11C0"/>
    <w:rsid w:val="009A31B6"/>
    <w:rsid w:val="009A4A95"/>
    <w:rsid w:val="009A4DF0"/>
    <w:rsid w:val="009A5398"/>
    <w:rsid w:val="009B0CA1"/>
    <w:rsid w:val="009B2138"/>
    <w:rsid w:val="009B254B"/>
    <w:rsid w:val="009B29B7"/>
    <w:rsid w:val="009B29F9"/>
    <w:rsid w:val="009B2E92"/>
    <w:rsid w:val="009B35B4"/>
    <w:rsid w:val="009B367D"/>
    <w:rsid w:val="009B43C5"/>
    <w:rsid w:val="009B49DA"/>
    <w:rsid w:val="009B562F"/>
    <w:rsid w:val="009B56BA"/>
    <w:rsid w:val="009B6926"/>
    <w:rsid w:val="009B6E6B"/>
    <w:rsid w:val="009B73EA"/>
    <w:rsid w:val="009B7423"/>
    <w:rsid w:val="009B778D"/>
    <w:rsid w:val="009B7B42"/>
    <w:rsid w:val="009C1668"/>
    <w:rsid w:val="009C1A89"/>
    <w:rsid w:val="009C1B39"/>
    <w:rsid w:val="009C2FAB"/>
    <w:rsid w:val="009C3350"/>
    <w:rsid w:val="009C379F"/>
    <w:rsid w:val="009C570A"/>
    <w:rsid w:val="009C71E4"/>
    <w:rsid w:val="009C72E6"/>
    <w:rsid w:val="009D09F2"/>
    <w:rsid w:val="009D0DB0"/>
    <w:rsid w:val="009D185E"/>
    <w:rsid w:val="009D228D"/>
    <w:rsid w:val="009D2A95"/>
    <w:rsid w:val="009D4F7D"/>
    <w:rsid w:val="009D6653"/>
    <w:rsid w:val="009D7465"/>
    <w:rsid w:val="009D783C"/>
    <w:rsid w:val="009E1067"/>
    <w:rsid w:val="009E13B1"/>
    <w:rsid w:val="009E1AC3"/>
    <w:rsid w:val="009E263C"/>
    <w:rsid w:val="009E2842"/>
    <w:rsid w:val="009E28FF"/>
    <w:rsid w:val="009E2F43"/>
    <w:rsid w:val="009E2FDB"/>
    <w:rsid w:val="009E340B"/>
    <w:rsid w:val="009E3437"/>
    <w:rsid w:val="009E35A5"/>
    <w:rsid w:val="009E4EAE"/>
    <w:rsid w:val="009E6567"/>
    <w:rsid w:val="009E6865"/>
    <w:rsid w:val="009E6F8B"/>
    <w:rsid w:val="009F0847"/>
    <w:rsid w:val="009F09CB"/>
    <w:rsid w:val="009F0E15"/>
    <w:rsid w:val="009F2084"/>
    <w:rsid w:val="009F25B4"/>
    <w:rsid w:val="009F2FE9"/>
    <w:rsid w:val="009F36FA"/>
    <w:rsid w:val="009F4034"/>
    <w:rsid w:val="009F41E6"/>
    <w:rsid w:val="009F5980"/>
    <w:rsid w:val="009F5A22"/>
    <w:rsid w:val="009F6A28"/>
    <w:rsid w:val="009F72FF"/>
    <w:rsid w:val="009F731B"/>
    <w:rsid w:val="009F7566"/>
    <w:rsid w:val="009F7635"/>
    <w:rsid w:val="009F7713"/>
    <w:rsid w:val="009F77D9"/>
    <w:rsid w:val="00A0031F"/>
    <w:rsid w:val="00A0050C"/>
    <w:rsid w:val="00A00575"/>
    <w:rsid w:val="00A00F0F"/>
    <w:rsid w:val="00A021F4"/>
    <w:rsid w:val="00A0228D"/>
    <w:rsid w:val="00A02679"/>
    <w:rsid w:val="00A03234"/>
    <w:rsid w:val="00A037BC"/>
    <w:rsid w:val="00A0381F"/>
    <w:rsid w:val="00A03A32"/>
    <w:rsid w:val="00A042EA"/>
    <w:rsid w:val="00A056D2"/>
    <w:rsid w:val="00A060B8"/>
    <w:rsid w:val="00A06E63"/>
    <w:rsid w:val="00A103D2"/>
    <w:rsid w:val="00A10406"/>
    <w:rsid w:val="00A117D9"/>
    <w:rsid w:val="00A11942"/>
    <w:rsid w:val="00A11A2C"/>
    <w:rsid w:val="00A120D4"/>
    <w:rsid w:val="00A1339A"/>
    <w:rsid w:val="00A14DA0"/>
    <w:rsid w:val="00A15669"/>
    <w:rsid w:val="00A15917"/>
    <w:rsid w:val="00A16B92"/>
    <w:rsid w:val="00A16BFF"/>
    <w:rsid w:val="00A16D2A"/>
    <w:rsid w:val="00A17D91"/>
    <w:rsid w:val="00A17FBD"/>
    <w:rsid w:val="00A20586"/>
    <w:rsid w:val="00A20695"/>
    <w:rsid w:val="00A20DE3"/>
    <w:rsid w:val="00A21A57"/>
    <w:rsid w:val="00A22AF7"/>
    <w:rsid w:val="00A22D79"/>
    <w:rsid w:val="00A232FA"/>
    <w:rsid w:val="00A237CC"/>
    <w:rsid w:val="00A23D56"/>
    <w:rsid w:val="00A23ED3"/>
    <w:rsid w:val="00A24369"/>
    <w:rsid w:val="00A2480A"/>
    <w:rsid w:val="00A24A85"/>
    <w:rsid w:val="00A25659"/>
    <w:rsid w:val="00A26EE4"/>
    <w:rsid w:val="00A27740"/>
    <w:rsid w:val="00A279B7"/>
    <w:rsid w:val="00A31314"/>
    <w:rsid w:val="00A3191C"/>
    <w:rsid w:val="00A31948"/>
    <w:rsid w:val="00A325E6"/>
    <w:rsid w:val="00A346A6"/>
    <w:rsid w:val="00A34781"/>
    <w:rsid w:val="00A3479B"/>
    <w:rsid w:val="00A34E1A"/>
    <w:rsid w:val="00A35336"/>
    <w:rsid w:val="00A35568"/>
    <w:rsid w:val="00A35978"/>
    <w:rsid w:val="00A36E4F"/>
    <w:rsid w:val="00A37AF2"/>
    <w:rsid w:val="00A37BCD"/>
    <w:rsid w:val="00A40512"/>
    <w:rsid w:val="00A41DA1"/>
    <w:rsid w:val="00A41FA3"/>
    <w:rsid w:val="00A4220E"/>
    <w:rsid w:val="00A4241C"/>
    <w:rsid w:val="00A425B3"/>
    <w:rsid w:val="00A42998"/>
    <w:rsid w:val="00A436ED"/>
    <w:rsid w:val="00A43788"/>
    <w:rsid w:val="00A437F7"/>
    <w:rsid w:val="00A45ACB"/>
    <w:rsid w:val="00A45F55"/>
    <w:rsid w:val="00A4693F"/>
    <w:rsid w:val="00A470DF"/>
    <w:rsid w:val="00A47C42"/>
    <w:rsid w:val="00A50229"/>
    <w:rsid w:val="00A505CD"/>
    <w:rsid w:val="00A50908"/>
    <w:rsid w:val="00A51FEB"/>
    <w:rsid w:val="00A52319"/>
    <w:rsid w:val="00A52A50"/>
    <w:rsid w:val="00A530DE"/>
    <w:rsid w:val="00A5373E"/>
    <w:rsid w:val="00A55AB9"/>
    <w:rsid w:val="00A55CD0"/>
    <w:rsid w:val="00A55D75"/>
    <w:rsid w:val="00A56014"/>
    <w:rsid w:val="00A56A81"/>
    <w:rsid w:val="00A571B1"/>
    <w:rsid w:val="00A571DA"/>
    <w:rsid w:val="00A576BB"/>
    <w:rsid w:val="00A6033F"/>
    <w:rsid w:val="00A60B74"/>
    <w:rsid w:val="00A60FCE"/>
    <w:rsid w:val="00A615A1"/>
    <w:rsid w:val="00A617C1"/>
    <w:rsid w:val="00A61BE1"/>
    <w:rsid w:val="00A62309"/>
    <w:rsid w:val="00A6538B"/>
    <w:rsid w:val="00A65FBD"/>
    <w:rsid w:val="00A669EE"/>
    <w:rsid w:val="00A67071"/>
    <w:rsid w:val="00A67E94"/>
    <w:rsid w:val="00A70351"/>
    <w:rsid w:val="00A710AF"/>
    <w:rsid w:val="00A71628"/>
    <w:rsid w:val="00A71AB6"/>
    <w:rsid w:val="00A71E14"/>
    <w:rsid w:val="00A7264E"/>
    <w:rsid w:val="00A72971"/>
    <w:rsid w:val="00A7320B"/>
    <w:rsid w:val="00A73B8B"/>
    <w:rsid w:val="00A74562"/>
    <w:rsid w:val="00A74821"/>
    <w:rsid w:val="00A748B3"/>
    <w:rsid w:val="00A74A24"/>
    <w:rsid w:val="00A74A9A"/>
    <w:rsid w:val="00A759A8"/>
    <w:rsid w:val="00A75D97"/>
    <w:rsid w:val="00A76FB3"/>
    <w:rsid w:val="00A80D39"/>
    <w:rsid w:val="00A8229F"/>
    <w:rsid w:val="00A823DD"/>
    <w:rsid w:val="00A83F41"/>
    <w:rsid w:val="00A842C4"/>
    <w:rsid w:val="00A853EB"/>
    <w:rsid w:val="00A85FC3"/>
    <w:rsid w:val="00A91014"/>
    <w:rsid w:val="00A927BD"/>
    <w:rsid w:val="00A93466"/>
    <w:rsid w:val="00A93EA8"/>
    <w:rsid w:val="00A94373"/>
    <w:rsid w:val="00A9481E"/>
    <w:rsid w:val="00A94BD5"/>
    <w:rsid w:val="00A968B6"/>
    <w:rsid w:val="00A97D7D"/>
    <w:rsid w:val="00AA1A3D"/>
    <w:rsid w:val="00AA35A8"/>
    <w:rsid w:val="00AA36A7"/>
    <w:rsid w:val="00AA3E93"/>
    <w:rsid w:val="00AA504B"/>
    <w:rsid w:val="00AA5EF1"/>
    <w:rsid w:val="00AA7AB0"/>
    <w:rsid w:val="00AB09C5"/>
    <w:rsid w:val="00AB221E"/>
    <w:rsid w:val="00AB237A"/>
    <w:rsid w:val="00AB240E"/>
    <w:rsid w:val="00AB258C"/>
    <w:rsid w:val="00AB3540"/>
    <w:rsid w:val="00AB44C2"/>
    <w:rsid w:val="00AB57CC"/>
    <w:rsid w:val="00AB61C9"/>
    <w:rsid w:val="00AB6288"/>
    <w:rsid w:val="00AB64EF"/>
    <w:rsid w:val="00AB6E22"/>
    <w:rsid w:val="00AB7211"/>
    <w:rsid w:val="00AB7B0B"/>
    <w:rsid w:val="00AC0FDB"/>
    <w:rsid w:val="00AC1331"/>
    <w:rsid w:val="00AC29FD"/>
    <w:rsid w:val="00AC2F51"/>
    <w:rsid w:val="00AC3388"/>
    <w:rsid w:val="00AC37F2"/>
    <w:rsid w:val="00AC3F21"/>
    <w:rsid w:val="00AC4FA8"/>
    <w:rsid w:val="00AC5BFA"/>
    <w:rsid w:val="00AC654A"/>
    <w:rsid w:val="00AC6D2A"/>
    <w:rsid w:val="00AC7055"/>
    <w:rsid w:val="00AC7851"/>
    <w:rsid w:val="00AC7B4D"/>
    <w:rsid w:val="00AC7B7D"/>
    <w:rsid w:val="00AD0A32"/>
    <w:rsid w:val="00AD1D61"/>
    <w:rsid w:val="00AD27C3"/>
    <w:rsid w:val="00AD3735"/>
    <w:rsid w:val="00AD4212"/>
    <w:rsid w:val="00AE0EB1"/>
    <w:rsid w:val="00AE11EF"/>
    <w:rsid w:val="00AE16E7"/>
    <w:rsid w:val="00AE2D33"/>
    <w:rsid w:val="00AE2FFB"/>
    <w:rsid w:val="00AE34A3"/>
    <w:rsid w:val="00AE3D49"/>
    <w:rsid w:val="00AE5CF6"/>
    <w:rsid w:val="00AE683D"/>
    <w:rsid w:val="00AE7310"/>
    <w:rsid w:val="00AE73E3"/>
    <w:rsid w:val="00AE79CB"/>
    <w:rsid w:val="00AE7E4B"/>
    <w:rsid w:val="00AE7EE0"/>
    <w:rsid w:val="00AF00AB"/>
    <w:rsid w:val="00AF01A9"/>
    <w:rsid w:val="00AF0489"/>
    <w:rsid w:val="00AF0D76"/>
    <w:rsid w:val="00AF0F68"/>
    <w:rsid w:val="00AF13D5"/>
    <w:rsid w:val="00AF15C9"/>
    <w:rsid w:val="00AF485B"/>
    <w:rsid w:val="00AF4C11"/>
    <w:rsid w:val="00AF4C38"/>
    <w:rsid w:val="00AF5418"/>
    <w:rsid w:val="00AF573C"/>
    <w:rsid w:val="00AF6057"/>
    <w:rsid w:val="00AF63CD"/>
    <w:rsid w:val="00AF65EB"/>
    <w:rsid w:val="00AF6F18"/>
    <w:rsid w:val="00AF7E4D"/>
    <w:rsid w:val="00B000DB"/>
    <w:rsid w:val="00B000E1"/>
    <w:rsid w:val="00B009C7"/>
    <w:rsid w:val="00B0138C"/>
    <w:rsid w:val="00B01966"/>
    <w:rsid w:val="00B02217"/>
    <w:rsid w:val="00B02301"/>
    <w:rsid w:val="00B0261C"/>
    <w:rsid w:val="00B0564A"/>
    <w:rsid w:val="00B0593C"/>
    <w:rsid w:val="00B061EE"/>
    <w:rsid w:val="00B07A4D"/>
    <w:rsid w:val="00B07C22"/>
    <w:rsid w:val="00B10197"/>
    <w:rsid w:val="00B10C31"/>
    <w:rsid w:val="00B11720"/>
    <w:rsid w:val="00B11819"/>
    <w:rsid w:val="00B11FBD"/>
    <w:rsid w:val="00B12878"/>
    <w:rsid w:val="00B13884"/>
    <w:rsid w:val="00B14AAA"/>
    <w:rsid w:val="00B14B74"/>
    <w:rsid w:val="00B15B75"/>
    <w:rsid w:val="00B16689"/>
    <w:rsid w:val="00B1713A"/>
    <w:rsid w:val="00B171F3"/>
    <w:rsid w:val="00B17249"/>
    <w:rsid w:val="00B17538"/>
    <w:rsid w:val="00B203E4"/>
    <w:rsid w:val="00B203F5"/>
    <w:rsid w:val="00B222E7"/>
    <w:rsid w:val="00B22702"/>
    <w:rsid w:val="00B22BDB"/>
    <w:rsid w:val="00B23FCB"/>
    <w:rsid w:val="00B242A9"/>
    <w:rsid w:val="00B25777"/>
    <w:rsid w:val="00B25883"/>
    <w:rsid w:val="00B25F25"/>
    <w:rsid w:val="00B26002"/>
    <w:rsid w:val="00B263D3"/>
    <w:rsid w:val="00B26B32"/>
    <w:rsid w:val="00B271A7"/>
    <w:rsid w:val="00B27965"/>
    <w:rsid w:val="00B3048E"/>
    <w:rsid w:val="00B309D6"/>
    <w:rsid w:val="00B30BC8"/>
    <w:rsid w:val="00B30F71"/>
    <w:rsid w:val="00B31091"/>
    <w:rsid w:val="00B32086"/>
    <w:rsid w:val="00B32262"/>
    <w:rsid w:val="00B3361B"/>
    <w:rsid w:val="00B33D1A"/>
    <w:rsid w:val="00B34764"/>
    <w:rsid w:val="00B34D43"/>
    <w:rsid w:val="00B34DDD"/>
    <w:rsid w:val="00B351E2"/>
    <w:rsid w:val="00B35B9E"/>
    <w:rsid w:val="00B36087"/>
    <w:rsid w:val="00B361F0"/>
    <w:rsid w:val="00B365DF"/>
    <w:rsid w:val="00B36B09"/>
    <w:rsid w:val="00B36EBB"/>
    <w:rsid w:val="00B37290"/>
    <w:rsid w:val="00B37847"/>
    <w:rsid w:val="00B4056E"/>
    <w:rsid w:val="00B40AD8"/>
    <w:rsid w:val="00B41891"/>
    <w:rsid w:val="00B422BD"/>
    <w:rsid w:val="00B43A57"/>
    <w:rsid w:val="00B443CA"/>
    <w:rsid w:val="00B44D1D"/>
    <w:rsid w:val="00B456BC"/>
    <w:rsid w:val="00B46353"/>
    <w:rsid w:val="00B5076D"/>
    <w:rsid w:val="00B50BA8"/>
    <w:rsid w:val="00B50E23"/>
    <w:rsid w:val="00B5117D"/>
    <w:rsid w:val="00B51EA6"/>
    <w:rsid w:val="00B538D3"/>
    <w:rsid w:val="00B5530F"/>
    <w:rsid w:val="00B554DD"/>
    <w:rsid w:val="00B56214"/>
    <w:rsid w:val="00B56C8F"/>
    <w:rsid w:val="00B57484"/>
    <w:rsid w:val="00B60460"/>
    <w:rsid w:val="00B6108F"/>
    <w:rsid w:val="00B615BB"/>
    <w:rsid w:val="00B62336"/>
    <w:rsid w:val="00B628D5"/>
    <w:rsid w:val="00B62AF4"/>
    <w:rsid w:val="00B63B06"/>
    <w:rsid w:val="00B64077"/>
    <w:rsid w:val="00B6429A"/>
    <w:rsid w:val="00B6448C"/>
    <w:rsid w:val="00B6487F"/>
    <w:rsid w:val="00B64CB4"/>
    <w:rsid w:val="00B6519A"/>
    <w:rsid w:val="00B6620B"/>
    <w:rsid w:val="00B6651B"/>
    <w:rsid w:val="00B66B44"/>
    <w:rsid w:val="00B673A8"/>
    <w:rsid w:val="00B67504"/>
    <w:rsid w:val="00B71FF2"/>
    <w:rsid w:val="00B725A4"/>
    <w:rsid w:val="00B72E7C"/>
    <w:rsid w:val="00B72F32"/>
    <w:rsid w:val="00B72F78"/>
    <w:rsid w:val="00B731F2"/>
    <w:rsid w:val="00B732AE"/>
    <w:rsid w:val="00B737D1"/>
    <w:rsid w:val="00B7388D"/>
    <w:rsid w:val="00B73A6A"/>
    <w:rsid w:val="00B750B3"/>
    <w:rsid w:val="00B754A6"/>
    <w:rsid w:val="00B7676D"/>
    <w:rsid w:val="00B768AE"/>
    <w:rsid w:val="00B776C2"/>
    <w:rsid w:val="00B808C3"/>
    <w:rsid w:val="00B817E2"/>
    <w:rsid w:val="00B819DF"/>
    <w:rsid w:val="00B82242"/>
    <w:rsid w:val="00B82528"/>
    <w:rsid w:val="00B825B4"/>
    <w:rsid w:val="00B82778"/>
    <w:rsid w:val="00B82D99"/>
    <w:rsid w:val="00B82DE6"/>
    <w:rsid w:val="00B846E4"/>
    <w:rsid w:val="00B847D0"/>
    <w:rsid w:val="00B84948"/>
    <w:rsid w:val="00B8495C"/>
    <w:rsid w:val="00B8516E"/>
    <w:rsid w:val="00B85589"/>
    <w:rsid w:val="00B86612"/>
    <w:rsid w:val="00B86E61"/>
    <w:rsid w:val="00B86F68"/>
    <w:rsid w:val="00B87784"/>
    <w:rsid w:val="00B90362"/>
    <w:rsid w:val="00B91FB3"/>
    <w:rsid w:val="00B921C0"/>
    <w:rsid w:val="00B92250"/>
    <w:rsid w:val="00B933F6"/>
    <w:rsid w:val="00B938FD"/>
    <w:rsid w:val="00B940CE"/>
    <w:rsid w:val="00B9478C"/>
    <w:rsid w:val="00B9532A"/>
    <w:rsid w:val="00B95A8C"/>
    <w:rsid w:val="00B95ED3"/>
    <w:rsid w:val="00BA04A1"/>
    <w:rsid w:val="00BA0F95"/>
    <w:rsid w:val="00BA11EB"/>
    <w:rsid w:val="00BA1A6B"/>
    <w:rsid w:val="00BA1F9B"/>
    <w:rsid w:val="00BA2B06"/>
    <w:rsid w:val="00BA2B83"/>
    <w:rsid w:val="00BA393D"/>
    <w:rsid w:val="00BA39FD"/>
    <w:rsid w:val="00BA4377"/>
    <w:rsid w:val="00BA49D1"/>
    <w:rsid w:val="00BA5A7B"/>
    <w:rsid w:val="00BA5BBC"/>
    <w:rsid w:val="00BA62E3"/>
    <w:rsid w:val="00BA6D2B"/>
    <w:rsid w:val="00BA72AE"/>
    <w:rsid w:val="00BA76C3"/>
    <w:rsid w:val="00BA7E2B"/>
    <w:rsid w:val="00BB0061"/>
    <w:rsid w:val="00BB01CD"/>
    <w:rsid w:val="00BB024E"/>
    <w:rsid w:val="00BB1A30"/>
    <w:rsid w:val="00BB2444"/>
    <w:rsid w:val="00BB31A6"/>
    <w:rsid w:val="00BB333A"/>
    <w:rsid w:val="00BB3847"/>
    <w:rsid w:val="00BB3911"/>
    <w:rsid w:val="00BB3E28"/>
    <w:rsid w:val="00BB42E0"/>
    <w:rsid w:val="00BB447A"/>
    <w:rsid w:val="00BB4DD3"/>
    <w:rsid w:val="00BB51C9"/>
    <w:rsid w:val="00BB570C"/>
    <w:rsid w:val="00BB5947"/>
    <w:rsid w:val="00BB5B56"/>
    <w:rsid w:val="00BB6233"/>
    <w:rsid w:val="00BB66EE"/>
    <w:rsid w:val="00BB6A86"/>
    <w:rsid w:val="00BC1F6F"/>
    <w:rsid w:val="00BC2716"/>
    <w:rsid w:val="00BC2D43"/>
    <w:rsid w:val="00BC2D75"/>
    <w:rsid w:val="00BC2E03"/>
    <w:rsid w:val="00BC38E6"/>
    <w:rsid w:val="00BC3B3D"/>
    <w:rsid w:val="00BC497B"/>
    <w:rsid w:val="00BC50DC"/>
    <w:rsid w:val="00BC5594"/>
    <w:rsid w:val="00BC5B0E"/>
    <w:rsid w:val="00BC5B57"/>
    <w:rsid w:val="00BC5DCC"/>
    <w:rsid w:val="00BC6320"/>
    <w:rsid w:val="00BC66DA"/>
    <w:rsid w:val="00BC70D1"/>
    <w:rsid w:val="00BC71C9"/>
    <w:rsid w:val="00BC7319"/>
    <w:rsid w:val="00BD0255"/>
    <w:rsid w:val="00BD0296"/>
    <w:rsid w:val="00BD19B2"/>
    <w:rsid w:val="00BD3452"/>
    <w:rsid w:val="00BD3764"/>
    <w:rsid w:val="00BD421C"/>
    <w:rsid w:val="00BD5269"/>
    <w:rsid w:val="00BD64DF"/>
    <w:rsid w:val="00BD6570"/>
    <w:rsid w:val="00BD6B1E"/>
    <w:rsid w:val="00BD76F3"/>
    <w:rsid w:val="00BD7BCB"/>
    <w:rsid w:val="00BE046B"/>
    <w:rsid w:val="00BE08DE"/>
    <w:rsid w:val="00BE1167"/>
    <w:rsid w:val="00BE15F0"/>
    <w:rsid w:val="00BE1E7E"/>
    <w:rsid w:val="00BE3122"/>
    <w:rsid w:val="00BE37AD"/>
    <w:rsid w:val="00BE3B4A"/>
    <w:rsid w:val="00BE3FF8"/>
    <w:rsid w:val="00BE4511"/>
    <w:rsid w:val="00BE464F"/>
    <w:rsid w:val="00BE4FAB"/>
    <w:rsid w:val="00BE5283"/>
    <w:rsid w:val="00BE52A8"/>
    <w:rsid w:val="00BE5E8F"/>
    <w:rsid w:val="00BE5EF7"/>
    <w:rsid w:val="00BE5F01"/>
    <w:rsid w:val="00BE624B"/>
    <w:rsid w:val="00BE66C9"/>
    <w:rsid w:val="00BE6B81"/>
    <w:rsid w:val="00BF0C27"/>
    <w:rsid w:val="00BF215D"/>
    <w:rsid w:val="00BF233E"/>
    <w:rsid w:val="00BF2728"/>
    <w:rsid w:val="00BF28D4"/>
    <w:rsid w:val="00BF3274"/>
    <w:rsid w:val="00BF34E1"/>
    <w:rsid w:val="00BF3DE4"/>
    <w:rsid w:val="00BF41BD"/>
    <w:rsid w:val="00BF4C93"/>
    <w:rsid w:val="00BF4EE6"/>
    <w:rsid w:val="00BF4F71"/>
    <w:rsid w:val="00BF5123"/>
    <w:rsid w:val="00BF6DB1"/>
    <w:rsid w:val="00BF7C4E"/>
    <w:rsid w:val="00C01499"/>
    <w:rsid w:val="00C01990"/>
    <w:rsid w:val="00C034C1"/>
    <w:rsid w:val="00C03763"/>
    <w:rsid w:val="00C03F7F"/>
    <w:rsid w:val="00C04D6F"/>
    <w:rsid w:val="00C04FAD"/>
    <w:rsid w:val="00C05259"/>
    <w:rsid w:val="00C062D2"/>
    <w:rsid w:val="00C06567"/>
    <w:rsid w:val="00C06576"/>
    <w:rsid w:val="00C0667B"/>
    <w:rsid w:val="00C07A3B"/>
    <w:rsid w:val="00C1171D"/>
    <w:rsid w:val="00C11753"/>
    <w:rsid w:val="00C120E0"/>
    <w:rsid w:val="00C1294C"/>
    <w:rsid w:val="00C129DA"/>
    <w:rsid w:val="00C12C58"/>
    <w:rsid w:val="00C13335"/>
    <w:rsid w:val="00C13E20"/>
    <w:rsid w:val="00C1463E"/>
    <w:rsid w:val="00C172A8"/>
    <w:rsid w:val="00C1746F"/>
    <w:rsid w:val="00C17DA0"/>
    <w:rsid w:val="00C17DEB"/>
    <w:rsid w:val="00C17FFB"/>
    <w:rsid w:val="00C2108D"/>
    <w:rsid w:val="00C21EB8"/>
    <w:rsid w:val="00C21F7A"/>
    <w:rsid w:val="00C22543"/>
    <w:rsid w:val="00C2383C"/>
    <w:rsid w:val="00C23A62"/>
    <w:rsid w:val="00C23C69"/>
    <w:rsid w:val="00C23EB9"/>
    <w:rsid w:val="00C24C24"/>
    <w:rsid w:val="00C2594B"/>
    <w:rsid w:val="00C259EA"/>
    <w:rsid w:val="00C264B5"/>
    <w:rsid w:val="00C2781E"/>
    <w:rsid w:val="00C279BC"/>
    <w:rsid w:val="00C27B0B"/>
    <w:rsid w:val="00C3088F"/>
    <w:rsid w:val="00C3185C"/>
    <w:rsid w:val="00C318C7"/>
    <w:rsid w:val="00C31CE5"/>
    <w:rsid w:val="00C3301B"/>
    <w:rsid w:val="00C335C2"/>
    <w:rsid w:val="00C33C78"/>
    <w:rsid w:val="00C3400A"/>
    <w:rsid w:val="00C343D0"/>
    <w:rsid w:val="00C3699E"/>
    <w:rsid w:val="00C36FA9"/>
    <w:rsid w:val="00C40445"/>
    <w:rsid w:val="00C414BC"/>
    <w:rsid w:val="00C41976"/>
    <w:rsid w:val="00C419D2"/>
    <w:rsid w:val="00C42017"/>
    <w:rsid w:val="00C4274B"/>
    <w:rsid w:val="00C42766"/>
    <w:rsid w:val="00C43C1F"/>
    <w:rsid w:val="00C44156"/>
    <w:rsid w:val="00C44205"/>
    <w:rsid w:val="00C4435F"/>
    <w:rsid w:val="00C4551B"/>
    <w:rsid w:val="00C46C11"/>
    <w:rsid w:val="00C47009"/>
    <w:rsid w:val="00C47F24"/>
    <w:rsid w:val="00C50457"/>
    <w:rsid w:val="00C51545"/>
    <w:rsid w:val="00C516D5"/>
    <w:rsid w:val="00C5173C"/>
    <w:rsid w:val="00C537CB"/>
    <w:rsid w:val="00C54148"/>
    <w:rsid w:val="00C544DA"/>
    <w:rsid w:val="00C54947"/>
    <w:rsid w:val="00C553C9"/>
    <w:rsid w:val="00C55654"/>
    <w:rsid w:val="00C559FB"/>
    <w:rsid w:val="00C55E35"/>
    <w:rsid w:val="00C561BA"/>
    <w:rsid w:val="00C5690B"/>
    <w:rsid w:val="00C56D94"/>
    <w:rsid w:val="00C57273"/>
    <w:rsid w:val="00C578D8"/>
    <w:rsid w:val="00C61B7D"/>
    <w:rsid w:val="00C62150"/>
    <w:rsid w:val="00C628BB"/>
    <w:rsid w:val="00C62BAA"/>
    <w:rsid w:val="00C63199"/>
    <w:rsid w:val="00C63604"/>
    <w:rsid w:val="00C63AED"/>
    <w:rsid w:val="00C6475A"/>
    <w:rsid w:val="00C64A21"/>
    <w:rsid w:val="00C64FA5"/>
    <w:rsid w:val="00C65387"/>
    <w:rsid w:val="00C6540C"/>
    <w:rsid w:val="00C65548"/>
    <w:rsid w:val="00C65584"/>
    <w:rsid w:val="00C66C88"/>
    <w:rsid w:val="00C66D52"/>
    <w:rsid w:val="00C675C5"/>
    <w:rsid w:val="00C7012D"/>
    <w:rsid w:val="00C70151"/>
    <w:rsid w:val="00C70806"/>
    <w:rsid w:val="00C70A52"/>
    <w:rsid w:val="00C72EAD"/>
    <w:rsid w:val="00C73477"/>
    <w:rsid w:val="00C73AE2"/>
    <w:rsid w:val="00C73E25"/>
    <w:rsid w:val="00C73FD8"/>
    <w:rsid w:val="00C7485C"/>
    <w:rsid w:val="00C76299"/>
    <w:rsid w:val="00C765E8"/>
    <w:rsid w:val="00C76631"/>
    <w:rsid w:val="00C7696A"/>
    <w:rsid w:val="00C76AB6"/>
    <w:rsid w:val="00C77258"/>
    <w:rsid w:val="00C772CC"/>
    <w:rsid w:val="00C8045C"/>
    <w:rsid w:val="00C804DC"/>
    <w:rsid w:val="00C8132B"/>
    <w:rsid w:val="00C819CA"/>
    <w:rsid w:val="00C82435"/>
    <w:rsid w:val="00C82B78"/>
    <w:rsid w:val="00C82C27"/>
    <w:rsid w:val="00C82EAF"/>
    <w:rsid w:val="00C831D7"/>
    <w:rsid w:val="00C83DCB"/>
    <w:rsid w:val="00C84080"/>
    <w:rsid w:val="00C8452E"/>
    <w:rsid w:val="00C84D29"/>
    <w:rsid w:val="00C854AC"/>
    <w:rsid w:val="00C86C64"/>
    <w:rsid w:val="00C879F7"/>
    <w:rsid w:val="00C87EC8"/>
    <w:rsid w:val="00C90BB4"/>
    <w:rsid w:val="00C91164"/>
    <w:rsid w:val="00C914EF"/>
    <w:rsid w:val="00C9291E"/>
    <w:rsid w:val="00C9375E"/>
    <w:rsid w:val="00C93CCF"/>
    <w:rsid w:val="00C943DD"/>
    <w:rsid w:val="00C944C2"/>
    <w:rsid w:val="00C94F38"/>
    <w:rsid w:val="00C958B7"/>
    <w:rsid w:val="00C9595B"/>
    <w:rsid w:val="00C97C52"/>
    <w:rsid w:val="00C97D7B"/>
    <w:rsid w:val="00C97DF9"/>
    <w:rsid w:val="00C97E8C"/>
    <w:rsid w:val="00CA01E3"/>
    <w:rsid w:val="00CA02B0"/>
    <w:rsid w:val="00CA1145"/>
    <w:rsid w:val="00CA2DCF"/>
    <w:rsid w:val="00CA2DD6"/>
    <w:rsid w:val="00CA357E"/>
    <w:rsid w:val="00CA3840"/>
    <w:rsid w:val="00CA3C0E"/>
    <w:rsid w:val="00CA4235"/>
    <w:rsid w:val="00CA4544"/>
    <w:rsid w:val="00CA49F5"/>
    <w:rsid w:val="00CA51D5"/>
    <w:rsid w:val="00CA5FF2"/>
    <w:rsid w:val="00CA7468"/>
    <w:rsid w:val="00CA7B9F"/>
    <w:rsid w:val="00CA7E21"/>
    <w:rsid w:val="00CB0310"/>
    <w:rsid w:val="00CB0A82"/>
    <w:rsid w:val="00CB10A2"/>
    <w:rsid w:val="00CB130E"/>
    <w:rsid w:val="00CB137D"/>
    <w:rsid w:val="00CB1E55"/>
    <w:rsid w:val="00CB237E"/>
    <w:rsid w:val="00CB2E61"/>
    <w:rsid w:val="00CB4C4E"/>
    <w:rsid w:val="00CB4D1B"/>
    <w:rsid w:val="00CB4DFA"/>
    <w:rsid w:val="00CB6D9D"/>
    <w:rsid w:val="00CB7F4B"/>
    <w:rsid w:val="00CC017A"/>
    <w:rsid w:val="00CC03D8"/>
    <w:rsid w:val="00CC1B74"/>
    <w:rsid w:val="00CC2B87"/>
    <w:rsid w:val="00CC2E11"/>
    <w:rsid w:val="00CC489E"/>
    <w:rsid w:val="00CC505B"/>
    <w:rsid w:val="00CC549E"/>
    <w:rsid w:val="00CC5894"/>
    <w:rsid w:val="00CC7CBF"/>
    <w:rsid w:val="00CD0D67"/>
    <w:rsid w:val="00CD115A"/>
    <w:rsid w:val="00CD193E"/>
    <w:rsid w:val="00CD20B0"/>
    <w:rsid w:val="00CD2481"/>
    <w:rsid w:val="00CD28AE"/>
    <w:rsid w:val="00CD3104"/>
    <w:rsid w:val="00CD3509"/>
    <w:rsid w:val="00CD4255"/>
    <w:rsid w:val="00CD44EE"/>
    <w:rsid w:val="00CD5399"/>
    <w:rsid w:val="00CD54B3"/>
    <w:rsid w:val="00CD664D"/>
    <w:rsid w:val="00CD6843"/>
    <w:rsid w:val="00CD6DA4"/>
    <w:rsid w:val="00CD72FD"/>
    <w:rsid w:val="00CD750A"/>
    <w:rsid w:val="00CE0355"/>
    <w:rsid w:val="00CE14F2"/>
    <w:rsid w:val="00CE1897"/>
    <w:rsid w:val="00CE197C"/>
    <w:rsid w:val="00CE2660"/>
    <w:rsid w:val="00CE2CF6"/>
    <w:rsid w:val="00CE398C"/>
    <w:rsid w:val="00CE408F"/>
    <w:rsid w:val="00CE4251"/>
    <w:rsid w:val="00CE4395"/>
    <w:rsid w:val="00CE46F7"/>
    <w:rsid w:val="00CE4C27"/>
    <w:rsid w:val="00CE6B17"/>
    <w:rsid w:val="00CE7F5D"/>
    <w:rsid w:val="00CF02D4"/>
    <w:rsid w:val="00CF0BA9"/>
    <w:rsid w:val="00CF1278"/>
    <w:rsid w:val="00CF1D3D"/>
    <w:rsid w:val="00CF218B"/>
    <w:rsid w:val="00CF256A"/>
    <w:rsid w:val="00CF2681"/>
    <w:rsid w:val="00CF345B"/>
    <w:rsid w:val="00CF34E6"/>
    <w:rsid w:val="00CF35B1"/>
    <w:rsid w:val="00CF37E7"/>
    <w:rsid w:val="00CF4D5E"/>
    <w:rsid w:val="00CF508A"/>
    <w:rsid w:val="00CF531B"/>
    <w:rsid w:val="00CF5CD6"/>
    <w:rsid w:val="00CF5F6C"/>
    <w:rsid w:val="00CF6355"/>
    <w:rsid w:val="00CF6C82"/>
    <w:rsid w:val="00CF733D"/>
    <w:rsid w:val="00D002D6"/>
    <w:rsid w:val="00D005C7"/>
    <w:rsid w:val="00D011A8"/>
    <w:rsid w:val="00D0133B"/>
    <w:rsid w:val="00D017A6"/>
    <w:rsid w:val="00D01A79"/>
    <w:rsid w:val="00D01BE9"/>
    <w:rsid w:val="00D01E1C"/>
    <w:rsid w:val="00D01F53"/>
    <w:rsid w:val="00D02B80"/>
    <w:rsid w:val="00D037C4"/>
    <w:rsid w:val="00D039F7"/>
    <w:rsid w:val="00D0443D"/>
    <w:rsid w:val="00D045DB"/>
    <w:rsid w:val="00D05DA0"/>
    <w:rsid w:val="00D05EC7"/>
    <w:rsid w:val="00D06DCB"/>
    <w:rsid w:val="00D07C7B"/>
    <w:rsid w:val="00D107FD"/>
    <w:rsid w:val="00D11E92"/>
    <w:rsid w:val="00D125B6"/>
    <w:rsid w:val="00D13E39"/>
    <w:rsid w:val="00D144EF"/>
    <w:rsid w:val="00D1451E"/>
    <w:rsid w:val="00D145F5"/>
    <w:rsid w:val="00D154DC"/>
    <w:rsid w:val="00D1570E"/>
    <w:rsid w:val="00D157DF"/>
    <w:rsid w:val="00D16305"/>
    <w:rsid w:val="00D163AC"/>
    <w:rsid w:val="00D1728A"/>
    <w:rsid w:val="00D1739C"/>
    <w:rsid w:val="00D1785C"/>
    <w:rsid w:val="00D21BCE"/>
    <w:rsid w:val="00D220E4"/>
    <w:rsid w:val="00D2231A"/>
    <w:rsid w:val="00D226EB"/>
    <w:rsid w:val="00D23B07"/>
    <w:rsid w:val="00D252C3"/>
    <w:rsid w:val="00D2595E"/>
    <w:rsid w:val="00D260E4"/>
    <w:rsid w:val="00D26741"/>
    <w:rsid w:val="00D27094"/>
    <w:rsid w:val="00D2710E"/>
    <w:rsid w:val="00D274D2"/>
    <w:rsid w:val="00D27641"/>
    <w:rsid w:val="00D2784D"/>
    <w:rsid w:val="00D27AD7"/>
    <w:rsid w:val="00D3111D"/>
    <w:rsid w:val="00D316BB"/>
    <w:rsid w:val="00D32B1B"/>
    <w:rsid w:val="00D331DC"/>
    <w:rsid w:val="00D34048"/>
    <w:rsid w:val="00D340FA"/>
    <w:rsid w:val="00D34DF3"/>
    <w:rsid w:val="00D3609D"/>
    <w:rsid w:val="00D36F8D"/>
    <w:rsid w:val="00D377F8"/>
    <w:rsid w:val="00D37DC9"/>
    <w:rsid w:val="00D37E2C"/>
    <w:rsid w:val="00D40691"/>
    <w:rsid w:val="00D40F41"/>
    <w:rsid w:val="00D413EF"/>
    <w:rsid w:val="00D41A31"/>
    <w:rsid w:val="00D41D18"/>
    <w:rsid w:val="00D42813"/>
    <w:rsid w:val="00D42949"/>
    <w:rsid w:val="00D43488"/>
    <w:rsid w:val="00D43516"/>
    <w:rsid w:val="00D44329"/>
    <w:rsid w:val="00D448BD"/>
    <w:rsid w:val="00D44B78"/>
    <w:rsid w:val="00D452B9"/>
    <w:rsid w:val="00D46100"/>
    <w:rsid w:val="00D46178"/>
    <w:rsid w:val="00D50902"/>
    <w:rsid w:val="00D5132C"/>
    <w:rsid w:val="00D51AA5"/>
    <w:rsid w:val="00D52568"/>
    <w:rsid w:val="00D52987"/>
    <w:rsid w:val="00D52A0A"/>
    <w:rsid w:val="00D5586B"/>
    <w:rsid w:val="00D55F9B"/>
    <w:rsid w:val="00D56797"/>
    <w:rsid w:val="00D568F1"/>
    <w:rsid w:val="00D56D67"/>
    <w:rsid w:val="00D57A9C"/>
    <w:rsid w:val="00D57ACF"/>
    <w:rsid w:val="00D602FC"/>
    <w:rsid w:val="00D606B3"/>
    <w:rsid w:val="00D60CA1"/>
    <w:rsid w:val="00D620D2"/>
    <w:rsid w:val="00D64C89"/>
    <w:rsid w:val="00D6644F"/>
    <w:rsid w:val="00D664C2"/>
    <w:rsid w:val="00D667AC"/>
    <w:rsid w:val="00D70368"/>
    <w:rsid w:val="00D70732"/>
    <w:rsid w:val="00D707EC"/>
    <w:rsid w:val="00D71721"/>
    <w:rsid w:val="00D7244D"/>
    <w:rsid w:val="00D724C3"/>
    <w:rsid w:val="00D72636"/>
    <w:rsid w:val="00D72DD7"/>
    <w:rsid w:val="00D72EA2"/>
    <w:rsid w:val="00D72F2B"/>
    <w:rsid w:val="00D743BF"/>
    <w:rsid w:val="00D746B6"/>
    <w:rsid w:val="00D74BA9"/>
    <w:rsid w:val="00D75585"/>
    <w:rsid w:val="00D759F2"/>
    <w:rsid w:val="00D75A18"/>
    <w:rsid w:val="00D75E62"/>
    <w:rsid w:val="00D762F4"/>
    <w:rsid w:val="00D7636B"/>
    <w:rsid w:val="00D7695F"/>
    <w:rsid w:val="00D76A0A"/>
    <w:rsid w:val="00D76B4B"/>
    <w:rsid w:val="00D7732A"/>
    <w:rsid w:val="00D7768C"/>
    <w:rsid w:val="00D81419"/>
    <w:rsid w:val="00D8307C"/>
    <w:rsid w:val="00D83CD6"/>
    <w:rsid w:val="00D84BD4"/>
    <w:rsid w:val="00D850A5"/>
    <w:rsid w:val="00D85355"/>
    <w:rsid w:val="00D86209"/>
    <w:rsid w:val="00D866B8"/>
    <w:rsid w:val="00D86B70"/>
    <w:rsid w:val="00D86C28"/>
    <w:rsid w:val="00D86FE4"/>
    <w:rsid w:val="00D87800"/>
    <w:rsid w:val="00D908BD"/>
    <w:rsid w:val="00D9097F"/>
    <w:rsid w:val="00D91CF8"/>
    <w:rsid w:val="00D91F3D"/>
    <w:rsid w:val="00D92052"/>
    <w:rsid w:val="00D92932"/>
    <w:rsid w:val="00D929C9"/>
    <w:rsid w:val="00D94F75"/>
    <w:rsid w:val="00D95A18"/>
    <w:rsid w:val="00D961D1"/>
    <w:rsid w:val="00D96965"/>
    <w:rsid w:val="00D96B2F"/>
    <w:rsid w:val="00D97E89"/>
    <w:rsid w:val="00DA060C"/>
    <w:rsid w:val="00DA0CC5"/>
    <w:rsid w:val="00DA1160"/>
    <w:rsid w:val="00DA119B"/>
    <w:rsid w:val="00DA12CE"/>
    <w:rsid w:val="00DA1DA7"/>
    <w:rsid w:val="00DA1E65"/>
    <w:rsid w:val="00DA1F04"/>
    <w:rsid w:val="00DA2374"/>
    <w:rsid w:val="00DA2771"/>
    <w:rsid w:val="00DA4F47"/>
    <w:rsid w:val="00DA68B9"/>
    <w:rsid w:val="00DA6EFD"/>
    <w:rsid w:val="00DA7589"/>
    <w:rsid w:val="00DB092E"/>
    <w:rsid w:val="00DB0B3F"/>
    <w:rsid w:val="00DB1901"/>
    <w:rsid w:val="00DB1B61"/>
    <w:rsid w:val="00DB2951"/>
    <w:rsid w:val="00DB4336"/>
    <w:rsid w:val="00DB489B"/>
    <w:rsid w:val="00DB4918"/>
    <w:rsid w:val="00DB565C"/>
    <w:rsid w:val="00DB5FAB"/>
    <w:rsid w:val="00DB64A6"/>
    <w:rsid w:val="00DB66FB"/>
    <w:rsid w:val="00DB78B0"/>
    <w:rsid w:val="00DC0701"/>
    <w:rsid w:val="00DC09F2"/>
    <w:rsid w:val="00DC14D4"/>
    <w:rsid w:val="00DC2837"/>
    <w:rsid w:val="00DC46F4"/>
    <w:rsid w:val="00DC5717"/>
    <w:rsid w:val="00DC61C5"/>
    <w:rsid w:val="00DC658C"/>
    <w:rsid w:val="00DC7A96"/>
    <w:rsid w:val="00DD0063"/>
    <w:rsid w:val="00DD047C"/>
    <w:rsid w:val="00DD1145"/>
    <w:rsid w:val="00DD23C3"/>
    <w:rsid w:val="00DD33A6"/>
    <w:rsid w:val="00DD3691"/>
    <w:rsid w:val="00DD3ADD"/>
    <w:rsid w:val="00DD3B4F"/>
    <w:rsid w:val="00DD3F68"/>
    <w:rsid w:val="00DD4492"/>
    <w:rsid w:val="00DD45BF"/>
    <w:rsid w:val="00DD4657"/>
    <w:rsid w:val="00DD54AB"/>
    <w:rsid w:val="00DD570C"/>
    <w:rsid w:val="00DD58E9"/>
    <w:rsid w:val="00DD63FF"/>
    <w:rsid w:val="00DD6F85"/>
    <w:rsid w:val="00DD7248"/>
    <w:rsid w:val="00DD7558"/>
    <w:rsid w:val="00DD7BFF"/>
    <w:rsid w:val="00DD7EAE"/>
    <w:rsid w:val="00DE006A"/>
    <w:rsid w:val="00DE0455"/>
    <w:rsid w:val="00DE15EC"/>
    <w:rsid w:val="00DE26AC"/>
    <w:rsid w:val="00DE2FBE"/>
    <w:rsid w:val="00DE313E"/>
    <w:rsid w:val="00DE3B6B"/>
    <w:rsid w:val="00DE4833"/>
    <w:rsid w:val="00DE4EB9"/>
    <w:rsid w:val="00DE5664"/>
    <w:rsid w:val="00DE57D7"/>
    <w:rsid w:val="00DE5899"/>
    <w:rsid w:val="00DE7A8B"/>
    <w:rsid w:val="00DF0961"/>
    <w:rsid w:val="00DF0D8A"/>
    <w:rsid w:val="00DF0EB3"/>
    <w:rsid w:val="00DF1349"/>
    <w:rsid w:val="00DF14A6"/>
    <w:rsid w:val="00DF23CC"/>
    <w:rsid w:val="00DF2F9E"/>
    <w:rsid w:val="00DF327A"/>
    <w:rsid w:val="00DF58EF"/>
    <w:rsid w:val="00DF6302"/>
    <w:rsid w:val="00DF6B9A"/>
    <w:rsid w:val="00DF6CC7"/>
    <w:rsid w:val="00DF6D63"/>
    <w:rsid w:val="00DF70B2"/>
    <w:rsid w:val="00E001F7"/>
    <w:rsid w:val="00E01EB5"/>
    <w:rsid w:val="00E02406"/>
    <w:rsid w:val="00E029F3"/>
    <w:rsid w:val="00E02A54"/>
    <w:rsid w:val="00E032F4"/>
    <w:rsid w:val="00E03E1B"/>
    <w:rsid w:val="00E045B8"/>
    <w:rsid w:val="00E04B10"/>
    <w:rsid w:val="00E04E8A"/>
    <w:rsid w:val="00E05BF4"/>
    <w:rsid w:val="00E05ED4"/>
    <w:rsid w:val="00E060AB"/>
    <w:rsid w:val="00E062C7"/>
    <w:rsid w:val="00E06DAF"/>
    <w:rsid w:val="00E072E2"/>
    <w:rsid w:val="00E1026E"/>
    <w:rsid w:val="00E11791"/>
    <w:rsid w:val="00E1267D"/>
    <w:rsid w:val="00E128A1"/>
    <w:rsid w:val="00E1336F"/>
    <w:rsid w:val="00E144F6"/>
    <w:rsid w:val="00E148C0"/>
    <w:rsid w:val="00E1494D"/>
    <w:rsid w:val="00E14FEC"/>
    <w:rsid w:val="00E15F03"/>
    <w:rsid w:val="00E16AA1"/>
    <w:rsid w:val="00E16E25"/>
    <w:rsid w:val="00E1724D"/>
    <w:rsid w:val="00E17478"/>
    <w:rsid w:val="00E17B67"/>
    <w:rsid w:val="00E2004E"/>
    <w:rsid w:val="00E20790"/>
    <w:rsid w:val="00E219F6"/>
    <w:rsid w:val="00E21C7B"/>
    <w:rsid w:val="00E235A9"/>
    <w:rsid w:val="00E23B8E"/>
    <w:rsid w:val="00E23EE1"/>
    <w:rsid w:val="00E2477D"/>
    <w:rsid w:val="00E25F47"/>
    <w:rsid w:val="00E2609A"/>
    <w:rsid w:val="00E26247"/>
    <w:rsid w:val="00E26A55"/>
    <w:rsid w:val="00E276E1"/>
    <w:rsid w:val="00E305A8"/>
    <w:rsid w:val="00E31987"/>
    <w:rsid w:val="00E31CC7"/>
    <w:rsid w:val="00E31D45"/>
    <w:rsid w:val="00E32C01"/>
    <w:rsid w:val="00E342C7"/>
    <w:rsid w:val="00E34733"/>
    <w:rsid w:val="00E35064"/>
    <w:rsid w:val="00E35AD5"/>
    <w:rsid w:val="00E360DE"/>
    <w:rsid w:val="00E37299"/>
    <w:rsid w:val="00E41095"/>
    <w:rsid w:val="00E41101"/>
    <w:rsid w:val="00E41235"/>
    <w:rsid w:val="00E41C55"/>
    <w:rsid w:val="00E42C6E"/>
    <w:rsid w:val="00E42CA1"/>
    <w:rsid w:val="00E433D2"/>
    <w:rsid w:val="00E44151"/>
    <w:rsid w:val="00E449AA"/>
    <w:rsid w:val="00E44BD6"/>
    <w:rsid w:val="00E44FBF"/>
    <w:rsid w:val="00E45CAE"/>
    <w:rsid w:val="00E4777E"/>
    <w:rsid w:val="00E47922"/>
    <w:rsid w:val="00E47AB1"/>
    <w:rsid w:val="00E47F7C"/>
    <w:rsid w:val="00E50C5B"/>
    <w:rsid w:val="00E50FF2"/>
    <w:rsid w:val="00E51627"/>
    <w:rsid w:val="00E51726"/>
    <w:rsid w:val="00E51E8B"/>
    <w:rsid w:val="00E52FDE"/>
    <w:rsid w:val="00E53004"/>
    <w:rsid w:val="00E53D25"/>
    <w:rsid w:val="00E5514B"/>
    <w:rsid w:val="00E553C1"/>
    <w:rsid w:val="00E55A0F"/>
    <w:rsid w:val="00E562CD"/>
    <w:rsid w:val="00E56CDD"/>
    <w:rsid w:val="00E56FDC"/>
    <w:rsid w:val="00E605C0"/>
    <w:rsid w:val="00E61836"/>
    <w:rsid w:val="00E63863"/>
    <w:rsid w:val="00E647C1"/>
    <w:rsid w:val="00E66CCF"/>
    <w:rsid w:val="00E67C68"/>
    <w:rsid w:val="00E7004F"/>
    <w:rsid w:val="00E71E09"/>
    <w:rsid w:val="00E72243"/>
    <w:rsid w:val="00E7325C"/>
    <w:rsid w:val="00E732DD"/>
    <w:rsid w:val="00E73999"/>
    <w:rsid w:val="00E7400C"/>
    <w:rsid w:val="00E74506"/>
    <w:rsid w:val="00E749F5"/>
    <w:rsid w:val="00E751D1"/>
    <w:rsid w:val="00E75F6E"/>
    <w:rsid w:val="00E774FE"/>
    <w:rsid w:val="00E77760"/>
    <w:rsid w:val="00E77884"/>
    <w:rsid w:val="00E77B47"/>
    <w:rsid w:val="00E8003A"/>
    <w:rsid w:val="00E800F3"/>
    <w:rsid w:val="00E80C9D"/>
    <w:rsid w:val="00E82AF9"/>
    <w:rsid w:val="00E83915"/>
    <w:rsid w:val="00E83A68"/>
    <w:rsid w:val="00E84265"/>
    <w:rsid w:val="00E842FA"/>
    <w:rsid w:val="00E847F5"/>
    <w:rsid w:val="00E85A05"/>
    <w:rsid w:val="00E86120"/>
    <w:rsid w:val="00E862C8"/>
    <w:rsid w:val="00E87CA5"/>
    <w:rsid w:val="00E87F78"/>
    <w:rsid w:val="00E90EBC"/>
    <w:rsid w:val="00E91BA9"/>
    <w:rsid w:val="00E91C49"/>
    <w:rsid w:val="00E91C74"/>
    <w:rsid w:val="00E92233"/>
    <w:rsid w:val="00E9225B"/>
    <w:rsid w:val="00E93BFE"/>
    <w:rsid w:val="00E93DC5"/>
    <w:rsid w:val="00E950D1"/>
    <w:rsid w:val="00E954A2"/>
    <w:rsid w:val="00E9587D"/>
    <w:rsid w:val="00E959EF"/>
    <w:rsid w:val="00E962E7"/>
    <w:rsid w:val="00E96ED9"/>
    <w:rsid w:val="00E97092"/>
    <w:rsid w:val="00E979DD"/>
    <w:rsid w:val="00E97E9C"/>
    <w:rsid w:val="00E97EF9"/>
    <w:rsid w:val="00EA05E8"/>
    <w:rsid w:val="00EA10BF"/>
    <w:rsid w:val="00EA3D64"/>
    <w:rsid w:val="00EA49C2"/>
    <w:rsid w:val="00EA508B"/>
    <w:rsid w:val="00EA58BE"/>
    <w:rsid w:val="00EA6657"/>
    <w:rsid w:val="00EA72C0"/>
    <w:rsid w:val="00EA7458"/>
    <w:rsid w:val="00EA7765"/>
    <w:rsid w:val="00EB013D"/>
    <w:rsid w:val="00EB04B3"/>
    <w:rsid w:val="00EB0F75"/>
    <w:rsid w:val="00EB165A"/>
    <w:rsid w:val="00EB1AD6"/>
    <w:rsid w:val="00EB2992"/>
    <w:rsid w:val="00EB322B"/>
    <w:rsid w:val="00EB4491"/>
    <w:rsid w:val="00EB49D3"/>
    <w:rsid w:val="00EB4BB1"/>
    <w:rsid w:val="00EB5A9B"/>
    <w:rsid w:val="00EB5AB9"/>
    <w:rsid w:val="00EB5ABB"/>
    <w:rsid w:val="00EB5ED6"/>
    <w:rsid w:val="00EB6182"/>
    <w:rsid w:val="00EB7867"/>
    <w:rsid w:val="00EC0B31"/>
    <w:rsid w:val="00EC0C0A"/>
    <w:rsid w:val="00EC1BAC"/>
    <w:rsid w:val="00EC230A"/>
    <w:rsid w:val="00EC27E9"/>
    <w:rsid w:val="00EC2A3B"/>
    <w:rsid w:val="00EC3C47"/>
    <w:rsid w:val="00EC4FB8"/>
    <w:rsid w:val="00EC5633"/>
    <w:rsid w:val="00EC5C26"/>
    <w:rsid w:val="00EC60FB"/>
    <w:rsid w:val="00EC6130"/>
    <w:rsid w:val="00EC62AF"/>
    <w:rsid w:val="00EC6346"/>
    <w:rsid w:val="00EC732C"/>
    <w:rsid w:val="00EC7E26"/>
    <w:rsid w:val="00ED03F2"/>
    <w:rsid w:val="00ED0948"/>
    <w:rsid w:val="00ED2992"/>
    <w:rsid w:val="00ED3AAB"/>
    <w:rsid w:val="00ED40E5"/>
    <w:rsid w:val="00ED479D"/>
    <w:rsid w:val="00ED6513"/>
    <w:rsid w:val="00ED6F26"/>
    <w:rsid w:val="00ED73F5"/>
    <w:rsid w:val="00ED759F"/>
    <w:rsid w:val="00ED78D7"/>
    <w:rsid w:val="00ED7CF4"/>
    <w:rsid w:val="00EE054F"/>
    <w:rsid w:val="00EE175C"/>
    <w:rsid w:val="00EE19DB"/>
    <w:rsid w:val="00EE1A5F"/>
    <w:rsid w:val="00EE2218"/>
    <w:rsid w:val="00EE2495"/>
    <w:rsid w:val="00EE257D"/>
    <w:rsid w:val="00EE2DD2"/>
    <w:rsid w:val="00EE35B8"/>
    <w:rsid w:val="00EE40E7"/>
    <w:rsid w:val="00EE445F"/>
    <w:rsid w:val="00EE4977"/>
    <w:rsid w:val="00EE49AB"/>
    <w:rsid w:val="00EE4FCE"/>
    <w:rsid w:val="00EE5DB9"/>
    <w:rsid w:val="00EE65D3"/>
    <w:rsid w:val="00EE68A8"/>
    <w:rsid w:val="00EE6EFD"/>
    <w:rsid w:val="00EE72BF"/>
    <w:rsid w:val="00EE79A3"/>
    <w:rsid w:val="00EE7A87"/>
    <w:rsid w:val="00EE7E83"/>
    <w:rsid w:val="00EF07A5"/>
    <w:rsid w:val="00EF15EA"/>
    <w:rsid w:val="00EF2BCF"/>
    <w:rsid w:val="00EF325D"/>
    <w:rsid w:val="00EF32C8"/>
    <w:rsid w:val="00EF334F"/>
    <w:rsid w:val="00EF36A3"/>
    <w:rsid w:val="00EF3813"/>
    <w:rsid w:val="00EF3A05"/>
    <w:rsid w:val="00EF3CBB"/>
    <w:rsid w:val="00EF43C4"/>
    <w:rsid w:val="00EF45A9"/>
    <w:rsid w:val="00EF4D72"/>
    <w:rsid w:val="00EF50D2"/>
    <w:rsid w:val="00EF54DB"/>
    <w:rsid w:val="00EF5FD4"/>
    <w:rsid w:val="00EF6D5A"/>
    <w:rsid w:val="00EF705A"/>
    <w:rsid w:val="00EF7154"/>
    <w:rsid w:val="00EF77C5"/>
    <w:rsid w:val="00F01AD2"/>
    <w:rsid w:val="00F0275C"/>
    <w:rsid w:val="00F02A87"/>
    <w:rsid w:val="00F0362D"/>
    <w:rsid w:val="00F050E7"/>
    <w:rsid w:val="00F051FB"/>
    <w:rsid w:val="00F0623E"/>
    <w:rsid w:val="00F06E9B"/>
    <w:rsid w:val="00F070DB"/>
    <w:rsid w:val="00F07128"/>
    <w:rsid w:val="00F077B2"/>
    <w:rsid w:val="00F07B15"/>
    <w:rsid w:val="00F100B2"/>
    <w:rsid w:val="00F101C5"/>
    <w:rsid w:val="00F11CC4"/>
    <w:rsid w:val="00F1256D"/>
    <w:rsid w:val="00F126DB"/>
    <w:rsid w:val="00F12D11"/>
    <w:rsid w:val="00F138A7"/>
    <w:rsid w:val="00F14E62"/>
    <w:rsid w:val="00F15902"/>
    <w:rsid w:val="00F15D9E"/>
    <w:rsid w:val="00F1707E"/>
    <w:rsid w:val="00F17366"/>
    <w:rsid w:val="00F17DEC"/>
    <w:rsid w:val="00F203CE"/>
    <w:rsid w:val="00F206E4"/>
    <w:rsid w:val="00F20F8C"/>
    <w:rsid w:val="00F21162"/>
    <w:rsid w:val="00F227DD"/>
    <w:rsid w:val="00F22E7F"/>
    <w:rsid w:val="00F23605"/>
    <w:rsid w:val="00F24A2F"/>
    <w:rsid w:val="00F24AE1"/>
    <w:rsid w:val="00F25C15"/>
    <w:rsid w:val="00F26304"/>
    <w:rsid w:val="00F273D6"/>
    <w:rsid w:val="00F276FF"/>
    <w:rsid w:val="00F30183"/>
    <w:rsid w:val="00F30476"/>
    <w:rsid w:val="00F308BF"/>
    <w:rsid w:val="00F311DB"/>
    <w:rsid w:val="00F313FC"/>
    <w:rsid w:val="00F31648"/>
    <w:rsid w:val="00F3229F"/>
    <w:rsid w:val="00F32558"/>
    <w:rsid w:val="00F33472"/>
    <w:rsid w:val="00F339AD"/>
    <w:rsid w:val="00F33C8E"/>
    <w:rsid w:val="00F34287"/>
    <w:rsid w:val="00F34C2F"/>
    <w:rsid w:val="00F34E55"/>
    <w:rsid w:val="00F34F46"/>
    <w:rsid w:val="00F359B5"/>
    <w:rsid w:val="00F35A33"/>
    <w:rsid w:val="00F364F2"/>
    <w:rsid w:val="00F36EC0"/>
    <w:rsid w:val="00F36FC9"/>
    <w:rsid w:val="00F370B0"/>
    <w:rsid w:val="00F37562"/>
    <w:rsid w:val="00F37935"/>
    <w:rsid w:val="00F40036"/>
    <w:rsid w:val="00F401A8"/>
    <w:rsid w:val="00F403FE"/>
    <w:rsid w:val="00F40505"/>
    <w:rsid w:val="00F431C0"/>
    <w:rsid w:val="00F4320E"/>
    <w:rsid w:val="00F436D3"/>
    <w:rsid w:val="00F4397B"/>
    <w:rsid w:val="00F43C48"/>
    <w:rsid w:val="00F43E84"/>
    <w:rsid w:val="00F444B5"/>
    <w:rsid w:val="00F444E6"/>
    <w:rsid w:val="00F4456D"/>
    <w:rsid w:val="00F44954"/>
    <w:rsid w:val="00F44B1B"/>
    <w:rsid w:val="00F46491"/>
    <w:rsid w:val="00F466B6"/>
    <w:rsid w:val="00F46B8B"/>
    <w:rsid w:val="00F507FA"/>
    <w:rsid w:val="00F51130"/>
    <w:rsid w:val="00F51886"/>
    <w:rsid w:val="00F51C71"/>
    <w:rsid w:val="00F52081"/>
    <w:rsid w:val="00F52218"/>
    <w:rsid w:val="00F5252B"/>
    <w:rsid w:val="00F52F6E"/>
    <w:rsid w:val="00F53213"/>
    <w:rsid w:val="00F5356A"/>
    <w:rsid w:val="00F5359E"/>
    <w:rsid w:val="00F565BD"/>
    <w:rsid w:val="00F56ECA"/>
    <w:rsid w:val="00F56F51"/>
    <w:rsid w:val="00F56F8C"/>
    <w:rsid w:val="00F5745A"/>
    <w:rsid w:val="00F578F9"/>
    <w:rsid w:val="00F57E8C"/>
    <w:rsid w:val="00F60845"/>
    <w:rsid w:val="00F612E3"/>
    <w:rsid w:val="00F61517"/>
    <w:rsid w:val="00F617A9"/>
    <w:rsid w:val="00F62BAE"/>
    <w:rsid w:val="00F64240"/>
    <w:rsid w:val="00F642AB"/>
    <w:rsid w:val="00F649E1"/>
    <w:rsid w:val="00F64E77"/>
    <w:rsid w:val="00F652F2"/>
    <w:rsid w:val="00F70A88"/>
    <w:rsid w:val="00F71906"/>
    <w:rsid w:val="00F73041"/>
    <w:rsid w:val="00F736DC"/>
    <w:rsid w:val="00F737D4"/>
    <w:rsid w:val="00F74ED9"/>
    <w:rsid w:val="00F74FD2"/>
    <w:rsid w:val="00F756D0"/>
    <w:rsid w:val="00F76313"/>
    <w:rsid w:val="00F763CE"/>
    <w:rsid w:val="00F80CE2"/>
    <w:rsid w:val="00F811E2"/>
    <w:rsid w:val="00F81C99"/>
    <w:rsid w:val="00F821C7"/>
    <w:rsid w:val="00F82EEE"/>
    <w:rsid w:val="00F8325F"/>
    <w:rsid w:val="00F83495"/>
    <w:rsid w:val="00F84143"/>
    <w:rsid w:val="00F84A2E"/>
    <w:rsid w:val="00F86127"/>
    <w:rsid w:val="00F86F80"/>
    <w:rsid w:val="00F87063"/>
    <w:rsid w:val="00F87FCC"/>
    <w:rsid w:val="00F900BF"/>
    <w:rsid w:val="00F9098D"/>
    <w:rsid w:val="00F90A03"/>
    <w:rsid w:val="00F90D66"/>
    <w:rsid w:val="00F918E1"/>
    <w:rsid w:val="00F927DB"/>
    <w:rsid w:val="00F93C85"/>
    <w:rsid w:val="00F93D44"/>
    <w:rsid w:val="00F94AF1"/>
    <w:rsid w:val="00F95289"/>
    <w:rsid w:val="00F968CA"/>
    <w:rsid w:val="00F96AF0"/>
    <w:rsid w:val="00F970E1"/>
    <w:rsid w:val="00FA068B"/>
    <w:rsid w:val="00FA0E64"/>
    <w:rsid w:val="00FA16BA"/>
    <w:rsid w:val="00FA201C"/>
    <w:rsid w:val="00FA4B3F"/>
    <w:rsid w:val="00FA55EF"/>
    <w:rsid w:val="00FA572E"/>
    <w:rsid w:val="00FA5C60"/>
    <w:rsid w:val="00FA5DD4"/>
    <w:rsid w:val="00FA5E72"/>
    <w:rsid w:val="00FA6988"/>
    <w:rsid w:val="00FA6F25"/>
    <w:rsid w:val="00FA74DF"/>
    <w:rsid w:val="00FB1178"/>
    <w:rsid w:val="00FB166C"/>
    <w:rsid w:val="00FB169D"/>
    <w:rsid w:val="00FB20E3"/>
    <w:rsid w:val="00FB330C"/>
    <w:rsid w:val="00FB3839"/>
    <w:rsid w:val="00FB38C8"/>
    <w:rsid w:val="00FB3B05"/>
    <w:rsid w:val="00FB4620"/>
    <w:rsid w:val="00FB4866"/>
    <w:rsid w:val="00FB4F43"/>
    <w:rsid w:val="00FB50B2"/>
    <w:rsid w:val="00FB5829"/>
    <w:rsid w:val="00FB689C"/>
    <w:rsid w:val="00FB6FA7"/>
    <w:rsid w:val="00FB702F"/>
    <w:rsid w:val="00FB7DAA"/>
    <w:rsid w:val="00FC004B"/>
    <w:rsid w:val="00FC0D0E"/>
    <w:rsid w:val="00FC0D49"/>
    <w:rsid w:val="00FC0EB7"/>
    <w:rsid w:val="00FC1B80"/>
    <w:rsid w:val="00FC1FCB"/>
    <w:rsid w:val="00FC27DD"/>
    <w:rsid w:val="00FC2ABF"/>
    <w:rsid w:val="00FC2BA4"/>
    <w:rsid w:val="00FC326F"/>
    <w:rsid w:val="00FC33A6"/>
    <w:rsid w:val="00FC33CE"/>
    <w:rsid w:val="00FC39E2"/>
    <w:rsid w:val="00FC3D71"/>
    <w:rsid w:val="00FC53DC"/>
    <w:rsid w:val="00FC5FD6"/>
    <w:rsid w:val="00FC6F85"/>
    <w:rsid w:val="00FC6FA4"/>
    <w:rsid w:val="00FC75D6"/>
    <w:rsid w:val="00FC7A1D"/>
    <w:rsid w:val="00FC7D91"/>
    <w:rsid w:val="00FD14EB"/>
    <w:rsid w:val="00FD178B"/>
    <w:rsid w:val="00FD2CE2"/>
    <w:rsid w:val="00FD55D9"/>
    <w:rsid w:val="00FD5D0C"/>
    <w:rsid w:val="00FD72D8"/>
    <w:rsid w:val="00FD73AE"/>
    <w:rsid w:val="00FD7B1A"/>
    <w:rsid w:val="00FD7D7D"/>
    <w:rsid w:val="00FE144E"/>
    <w:rsid w:val="00FE1ED4"/>
    <w:rsid w:val="00FE333E"/>
    <w:rsid w:val="00FE37EE"/>
    <w:rsid w:val="00FE3D83"/>
    <w:rsid w:val="00FE4624"/>
    <w:rsid w:val="00FE5E91"/>
    <w:rsid w:val="00FE6A96"/>
    <w:rsid w:val="00FE7B37"/>
    <w:rsid w:val="00FF0426"/>
    <w:rsid w:val="00FF0DEB"/>
    <w:rsid w:val="00FF11BE"/>
    <w:rsid w:val="00FF171D"/>
    <w:rsid w:val="00FF1C1D"/>
    <w:rsid w:val="00FF20BB"/>
    <w:rsid w:val="00FF29C7"/>
    <w:rsid w:val="00FF5999"/>
    <w:rsid w:val="00FF5B28"/>
    <w:rsid w:val="00FF64DB"/>
    <w:rsid w:val="00FF69FA"/>
    <w:rsid w:val="00FF6EFD"/>
    <w:rsid w:val="00FF7D8A"/>
    <w:rsid w:val="01E054EB"/>
    <w:rsid w:val="01F9035B"/>
    <w:rsid w:val="025E4638"/>
    <w:rsid w:val="02CC3DCA"/>
    <w:rsid w:val="02FE76EF"/>
    <w:rsid w:val="03AA4003"/>
    <w:rsid w:val="03F033B0"/>
    <w:rsid w:val="057C1D39"/>
    <w:rsid w:val="05891259"/>
    <w:rsid w:val="067F1777"/>
    <w:rsid w:val="068154EF"/>
    <w:rsid w:val="07335C32"/>
    <w:rsid w:val="07AF7DC6"/>
    <w:rsid w:val="08633479"/>
    <w:rsid w:val="08A23B6C"/>
    <w:rsid w:val="0BEE71CA"/>
    <w:rsid w:val="0C911659"/>
    <w:rsid w:val="0CB51572"/>
    <w:rsid w:val="0CE340E1"/>
    <w:rsid w:val="0DD028B8"/>
    <w:rsid w:val="0E4D31E3"/>
    <w:rsid w:val="0E5B6625"/>
    <w:rsid w:val="0EA44D77"/>
    <w:rsid w:val="0EB70123"/>
    <w:rsid w:val="0EF80318"/>
    <w:rsid w:val="0F955B67"/>
    <w:rsid w:val="0FB33778"/>
    <w:rsid w:val="0FD77F2D"/>
    <w:rsid w:val="10344C8C"/>
    <w:rsid w:val="10DC2AA3"/>
    <w:rsid w:val="10E32902"/>
    <w:rsid w:val="10FA7C8C"/>
    <w:rsid w:val="11BB609D"/>
    <w:rsid w:val="130B198F"/>
    <w:rsid w:val="14FF1682"/>
    <w:rsid w:val="160217A3"/>
    <w:rsid w:val="16A918E4"/>
    <w:rsid w:val="17123F41"/>
    <w:rsid w:val="177275C4"/>
    <w:rsid w:val="179C11B3"/>
    <w:rsid w:val="17D966D6"/>
    <w:rsid w:val="17EA20AA"/>
    <w:rsid w:val="18117D55"/>
    <w:rsid w:val="188E75F7"/>
    <w:rsid w:val="18A706B9"/>
    <w:rsid w:val="1A737C24"/>
    <w:rsid w:val="1B4B7E14"/>
    <w:rsid w:val="1B5E7755"/>
    <w:rsid w:val="1BBE1FA1"/>
    <w:rsid w:val="1BC71D3B"/>
    <w:rsid w:val="1C59115B"/>
    <w:rsid w:val="1D012A8E"/>
    <w:rsid w:val="1D1C3424"/>
    <w:rsid w:val="1F446C62"/>
    <w:rsid w:val="1FB23E60"/>
    <w:rsid w:val="21303941"/>
    <w:rsid w:val="21B005DE"/>
    <w:rsid w:val="2210107D"/>
    <w:rsid w:val="22A31EF1"/>
    <w:rsid w:val="22C5630B"/>
    <w:rsid w:val="22E70030"/>
    <w:rsid w:val="23133FE2"/>
    <w:rsid w:val="23D83E1C"/>
    <w:rsid w:val="23EC0BA6"/>
    <w:rsid w:val="241A474A"/>
    <w:rsid w:val="241D0AD5"/>
    <w:rsid w:val="245C67FB"/>
    <w:rsid w:val="24701A48"/>
    <w:rsid w:val="25E35426"/>
    <w:rsid w:val="260B04D9"/>
    <w:rsid w:val="26461511"/>
    <w:rsid w:val="26661BB3"/>
    <w:rsid w:val="268B0052"/>
    <w:rsid w:val="27191702"/>
    <w:rsid w:val="27743C90"/>
    <w:rsid w:val="27826579"/>
    <w:rsid w:val="27DD7C53"/>
    <w:rsid w:val="28397580"/>
    <w:rsid w:val="29CA2459"/>
    <w:rsid w:val="29FD45DD"/>
    <w:rsid w:val="2B053749"/>
    <w:rsid w:val="2B253DEB"/>
    <w:rsid w:val="2B271A58"/>
    <w:rsid w:val="2B2D2CA0"/>
    <w:rsid w:val="2B5910A8"/>
    <w:rsid w:val="2B6304A7"/>
    <w:rsid w:val="2CA64AB8"/>
    <w:rsid w:val="2CF6734C"/>
    <w:rsid w:val="2CFC5BC0"/>
    <w:rsid w:val="2D663463"/>
    <w:rsid w:val="2DE24215"/>
    <w:rsid w:val="2E4A440F"/>
    <w:rsid w:val="2E9C03BF"/>
    <w:rsid w:val="2EF96EE4"/>
    <w:rsid w:val="2F283EAA"/>
    <w:rsid w:val="2F7F26AB"/>
    <w:rsid w:val="30231A6C"/>
    <w:rsid w:val="312C0D1D"/>
    <w:rsid w:val="322546D1"/>
    <w:rsid w:val="324628AD"/>
    <w:rsid w:val="32F70262"/>
    <w:rsid w:val="33062188"/>
    <w:rsid w:val="33305A23"/>
    <w:rsid w:val="33552D94"/>
    <w:rsid w:val="33E02FA5"/>
    <w:rsid w:val="344553D5"/>
    <w:rsid w:val="346314E0"/>
    <w:rsid w:val="35643762"/>
    <w:rsid w:val="35731BF7"/>
    <w:rsid w:val="35D42696"/>
    <w:rsid w:val="36254FE4"/>
    <w:rsid w:val="36651636"/>
    <w:rsid w:val="36E0150E"/>
    <w:rsid w:val="372F61E0"/>
    <w:rsid w:val="39322FCA"/>
    <w:rsid w:val="3AB90991"/>
    <w:rsid w:val="3ABB2076"/>
    <w:rsid w:val="3B5A7C6E"/>
    <w:rsid w:val="3B706131"/>
    <w:rsid w:val="3BBB7E54"/>
    <w:rsid w:val="3C526A0A"/>
    <w:rsid w:val="3C9E1C4F"/>
    <w:rsid w:val="3DB039E8"/>
    <w:rsid w:val="3E3F6FCD"/>
    <w:rsid w:val="3E6F041E"/>
    <w:rsid w:val="3F700190"/>
    <w:rsid w:val="41366FFB"/>
    <w:rsid w:val="41A82C28"/>
    <w:rsid w:val="423B584A"/>
    <w:rsid w:val="4275481E"/>
    <w:rsid w:val="428B617A"/>
    <w:rsid w:val="42ED4D97"/>
    <w:rsid w:val="433D7BDC"/>
    <w:rsid w:val="433E6DEB"/>
    <w:rsid w:val="437E1813"/>
    <w:rsid w:val="438D012A"/>
    <w:rsid w:val="43E50164"/>
    <w:rsid w:val="44056110"/>
    <w:rsid w:val="440920A4"/>
    <w:rsid w:val="444004CC"/>
    <w:rsid w:val="450E5498"/>
    <w:rsid w:val="455B692F"/>
    <w:rsid w:val="45BD47FC"/>
    <w:rsid w:val="45CC5FB2"/>
    <w:rsid w:val="46330D6C"/>
    <w:rsid w:val="46B75BA8"/>
    <w:rsid w:val="471C5C4A"/>
    <w:rsid w:val="47F22031"/>
    <w:rsid w:val="47FE3E1C"/>
    <w:rsid w:val="484C255F"/>
    <w:rsid w:val="489B34E7"/>
    <w:rsid w:val="48C97955"/>
    <w:rsid w:val="48FA645F"/>
    <w:rsid w:val="49470F79"/>
    <w:rsid w:val="4957740E"/>
    <w:rsid w:val="49725FF6"/>
    <w:rsid w:val="49880C8F"/>
    <w:rsid w:val="49B02FC2"/>
    <w:rsid w:val="4A4D0811"/>
    <w:rsid w:val="4A657748"/>
    <w:rsid w:val="4A8835F7"/>
    <w:rsid w:val="4AF55F4B"/>
    <w:rsid w:val="4B592E71"/>
    <w:rsid w:val="4BB56B11"/>
    <w:rsid w:val="4C123AC0"/>
    <w:rsid w:val="4C5B5467"/>
    <w:rsid w:val="4CA75908"/>
    <w:rsid w:val="4E65120B"/>
    <w:rsid w:val="4F93316A"/>
    <w:rsid w:val="4FA17635"/>
    <w:rsid w:val="4FEB08B0"/>
    <w:rsid w:val="50874A7C"/>
    <w:rsid w:val="50CE26AB"/>
    <w:rsid w:val="51EA6339"/>
    <w:rsid w:val="51F7178E"/>
    <w:rsid w:val="52B9239A"/>
    <w:rsid w:val="53094079"/>
    <w:rsid w:val="5486504B"/>
    <w:rsid w:val="54BD78FD"/>
    <w:rsid w:val="55075A8B"/>
    <w:rsid w:val="55F85AD5"/>
    <w:rsid w:val="5604091D"/>
    <w:rsid w:val="562468CA"/>
    <w:rsid w:val="564B654C"/>
    <w:rsid w:val="56D66329"/>
    <w:rsid w:val="57087F99"/>
    <w:rsid w:val="57945CD1"/>
    <w:rsid w:val="58A86DDE"/>
    <w:rsid w:val="58B65855"/>
    <w:rsid w:val="59154AD7"/>
    <w:rsid w:val="5AD703AE"/>
    <w:rsid w:val="5ADF548D"/>
    <w:rsid w:val="5B253B44"/>
    <w:rsid w:val="5CE40B61"/>
    <w:rsid w:val="5D5C60B4"/>
    <w:rsid w:val="5D88074A"/>
    <w:rsid w:val="5D9562FF"/>
    <w:rsid w:val="5F3F29C6"/>
    <w:rsid w:val="60602BF4"/>
    <w:rsid w:val="60E44C91"/>
    <w:rsid w:val="613D1187"/>
    <w:rsid w:val="617E77D6"/>
    <w:rsid w:val="618F5D6F"/>
    <w:rsid w:val="61C663FC"/>
    <w:rsid w:val="62946B85"/>
    <w:rsid w:val="63F04A69"/>
    <w:rsid w:val="642D54E3"/>
    <w:rsid w:val="647629E6"/>
    <w:rsid w:val="65222623"/>
    <w:rsid w:val="65404DA2"/>
    <w:rsid w:val="66A50B1E"/>
    <w:rsid w:val="672F50CE"/>
    <w:rsid w:val="674548F2"/>
    <w:rsid w:val="67B2063C"/>
    <w:rsid w:val="67B850C4"/>
    <w:rsid w:val="67C97AC3"/>
    <w:rsid w:val="67E30EC1"/>
    <w:rsid w:val="68725BBA"/>
    <w:rsid w:val="692D388F"/>
    <w:rsid w:val="6985191D"/>
    <w:rsid w:val="6A484E25"/>
    <w:rsid w:val="6A4E3B2B"/>
    <w:rsid w:val="6B20545A"/>
    <w:rsid w:val="6B481C3B"/>
    <w:rsid w:val="6BDF70C3"/>
    <w:rsid w:val="6C1331A3"/>
    <w:rsid w:val="6C9A56E0"/>
    <w:rsid w:val="6CA84BC1"/>
    <w:rsid w:val="6CC664D5"/>
    <w:rsid w:val="6D125276"/>
    <w:rsid w:val="6D3E4756"/>
    <w:rsid w:val="6E5214B9"/>
    <w:rsid w:val="6F0B5B7C"/>
    <w:rsid w:val="6F5E0C47"/>
    <w:rsid w:val="6FC523EB"/>
    <w:rsid w:val="6FF81FCB"/>
    <w:rsid w:val="70DA60AB"/>
    <w:rsid w:val="7157776B"/>
    <w:rsid w:val="71AB7A47"/>
    <w:rsid w:val="726C71D7"/>
    <w:rsid w:val="72895F2E"/>
    <w:rsid w:val="72C02EBE"/>
    <w:rsid w:val="72C507AD"/>
    <w:rsid w:val="72D028D8"/>
    <w:rsid w:val="73465C7A"/>
    <w:rsid w:val="734D525A"/>
    <w:rsid w:val="73685BF0"/>
    <w:rsid w:val="745D47C3"/>
    <w:rsid w:val="74AE3AD6"/>
    <w:rsid w:val="75355FA6"/>
    <w:rsid w:val="75377F70"/>
    <w:rsid w:val="7697322E"/>
    <w:rsid w:val="76AC3757"/>
    <w:rsid w:val="77131BA8"/>
    <w:rsid w:val="772C162A"/>
    <w:rsid w:val="77324E93"/>
    <w:rsid w:val="787C6529"/>
    <w:rsid w:val="78A21BA4"/>
    <w:rsid w:val="7A224F34"/>
    <w:rsid w:val="7A41363F"/>
    <w:rsid w:val="7B932C8C"/>
    <w:rsid w:val="7BCE4A5E"/>
    <w:rsid w:val="7CB93F8E"/>
    <w:rsid w:val="7CF66B46"/>
    <w:rsid w:val="7D470F6C"/>
    <w:rsid w:val="7D7004C3"/>
    <w:rsid w:val="7D9578B2"/>
    <w:rsid w:val="7DBD28BA"/>
    <w:rsid w:val="7E584AB3"/>
    <w:rsid w:val="7EB634AC"/>
    <w:rsid w:val="7EBF0E77"/>
    <w:rsid w:val="7F514980"/>
    <w:rsid w:val="7F601E7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98" w:name="Normal"/>
    <w:lsdException w:qFormat="1" w:unhideWhenUsed="0" w:uiPriority="0" w:name="heading 1"/>
    <w:lsdException w:qFormat="1" w:unhideWhenUsed="0" w:uiPriority="0" w:name="heading 2"/>
    <w:lsdException w:qFormat="1" w:unhideWhenUsed="0" w:uiPriority="0" w:name="heading 3"/>
    <w:lsdException w:qFormat="1" w:unhideWhenUsed="0" w:uiPriority="0" w:name="heading 4"/>
    <w:lsdException w:qFormat="1" w:unhideWhenUsed="0" w:uiPriority="0" w:name="heading 5"/>
    <w:lsdException w:qFormat="1" w:uiPriority="0" w:name="heading 6"/>
    <w:lsdException w:qFormat="1" w:uiPriority="0" w:name="heading 7"/>
    <w:lsdException w:qFormat="1" w:uiPriority="0" w:name="heading 8"/>
    <w:lsdException w:qFormat="1" w:uiPriority="0" w:name="heading 9"/>
    <w:lsdException w:unhideWhenUsed="0" w:uiPriority="98" w:name="index 1"/>
    <w:lsdException w:unhideWhenUsed="0" w:uiPriority="98" w:name="index 2"/>
    <w:lsdException w:unhideWhenUsed="0" w:uiPriority="98" w:name="index 3"/>
    <w:lsdException w:unhideWhenUsed="0" w:uiPriority="98" w:name="index 4"/>
    <w:lsdException w:unhideWhenUsed="0" w:uiPriority="98" w:name="index 5"/>
    <w:lsdException w:unhideWhenUsed="0" w:uiPriority="98" w:name="index 6"/>
    <w:lsdException w:unhideWhenUsed="0" w:uiPriority="98" w:name="index 7"/>
    <w:lsdException w:unhideWhenUsed="0" w:uiPriority="98" w:name="index 8"/>
    <w:lsdException w:qFormat="1" w:unhideWhenUsed="0" w:uiPriority="98" w:name="index 9"/>
    <w:lsdException w:qFormat="1" w:unhideWhenUsed="0" w:uiPriority="39" w:semiHidden="0" w:name="toc 1"/>
    <w:lsdException w:qFormat="1" w:unhideWhenUsed="0" w:uiPriority="39" w:semiHidden="0" w:name="toc 2"/>
    <w:lsdException w:qFormat="1" w:unhideWhenUsed="0" w:uiPriority="39" w:name="toc 3"/>
    <w:lsdException w:unhideWhenUsed="0" w:uiPriority="98" w:name="toc 4"/>
    <w:lsdException w:unhideWhenUsed="0" w:uiPriority="98" w:name="toc 5"/>
    <w:lsdException w:unhideWhenUsed="0" w:uiPriority="98" w:name="toc 6"/>
    <w:lsdException w:unhideWhenUsed="0" w:uiPriority="98" w:name="toc 7"/>
    <w:lsdException w:unhideWhenUsed="0" w:uiPriority="98" w:name="toc 8"/>
    <w:lsdException w:unhideWhenUsed="0" w:uiPriority="98" w:name="toc 9"/>
    <w:lsdException w:unhideWhenUsed="0" w:uiPriority="98" w:name="Normal Indent"/>
    <w:lsdException w:unhideWhenUsed="0" w:uiPriority="98" w:name="footnote text"/>
    <w:lsdException w:qFormat="1" w:unhideWhenUsed="0" w:uiPriority="99" w:semiHidden="0" w:name="annotation text"/>
    <w:lsdException w:qFormat="1" w:unhideWhenUsed="0" w:uiPriority="0" w:name="header"/>
    <w:lsdException w:qFormat="1" w:unhideWhenUsed="0" w:uiPriority="0" w:name="footer"/>
    <w:lsdException w:unhideWhenUsed="0" w:uiPriority="98" w:name="index heading"/>
    <w:lsdException w:qFormat="1" w:unhideWhenUsed="0" w:uiPriority="98" w:name="caption"/>
    <w:lsdException w:unhideWhenUsed="0" w:uiPriority="98" w:name="table of figures"/>
    <w:lsdException w:unhideWhenUsed="0" w:uiPriority="98" w:name="envelope address"/>
    <w:lsdException w:unhideWhenUsed="0" w:uiPriority="98" w:name="envelope return"/>
    <w:lsdException w:unhideWhenUsed="0" w:uiPriority="98" w:name="footnote reference"/>
    <w:lsdException w:qFormat="1" w:unhideWhenUsed="0" w:uiPriority="98" w:name="annotation reference"/>
    <w:lsdException w:unhideWhenUsed="0" w:uiPriority="98" w:name="line number"/>
    <w:lsdException w:qFormat="1" w:unhideWhenUsed="0" w:uiPriority="0" w:name="page number"/>
    <w:lsdException w:unhideWhenUsed="0" w:uiPriority="98" w:name="endnote reference"/>
    <w:lsdException w:unhideWhenUsed="0" w:uiPriority="98" w:name="endnote text"/>
    <w:lsdException w:unhideWhenUsed="0" w:uiPriority="98" w:name="table of authorities"/>
    <w:lsdException w:unhideWhenUsed="0" w:uiPriority="98" w:name="macro"/>
    <w:lsdException w:unhideWhenUsed="0" w:uiPriority="98" w:name="toa heading"/>
    <w:lsdException w:qFormat="1" w:unhideWhenUsed="0" w:uiPriority="0" w:semiHidden="0" w:name="List"/>
    <w:lsdException w:unhideWhenUsed="0" w:uiPriority="98" w:name="List Bullet"/>
    <w:lsdException w:unhideWhenUsed="0" w:uiPriority="98" w:name="List Number"/>
    <w:lsdException w:unhideWhenUsed="0" w:uiPriority="98" w:name="List 2"/>
    <w:lsdException w:unhideWhenUsed="0" w:uiPriority="98" w:name="List 3"/>
    <w:lsdException w:unhideWhenUsed="0" w:uiPriority="98" w:name="List 4"/>
    <w:lsdException w:unhideWhenUsed="0" w:uiPriority="98" w:name="List 5"/>
    <w:lsdException w:unhideWhenUsed="0" w:uiPriority="98" w:name="List Bullet 2"/>
    <w:lsdException w:unhideWhenUsed="0" w:uiPriority="98" w:name="List Bullet 3"/>
    <w:lsdException w:unhideWhenUsed="0" w:uiPriority="98" w:name="List Bullet 4"/>
    <w:lsdException w:unhideWhenUsed="0" w:uiPriority="98" w:name="List Bullet 5"/>
    <w:lsdException w:unhideWhenUsed="0" w:uiPriority="98" w:name="List Number 2"/>
    <w:lsdException w:unhideWhenUsed="0" w:uiPriority="98" w:name="List Number 3"/>
    <w:lsdException w:unhideWhenUsed="0" w:uiPriority="98" w:name="List Number 4"/>
    <w:lsdException w:unhideWhenUsed="0" w:uiPriority="98" w:name="List Number 5"/>
    <w:lsdException w:qFormat="1" w:unhideWhenUsed="0" w:uiPriority="0" w:name="Title"/>
    <w:lsdException w:unhideWhenUsed="0" w:uiPriority="98" w:name="Closing"/>
    <w:lsdException w:unhideWhenUsed="0" w:uiPriority="98" w:name="Signature"/>
    <w:lsdException w:qFormat="1" w:uiPriority="1" w:name="Default Paragraph Font"/>
    <w:lsdException w:qFormat="1" w:unhideWhenUsed="0" w:uiPriority="98" w:name="Body Text"/>
    <w:lsdException w:qFormat="1" w:unhideWhenUsed="0" w:uiPriority="0" w:name="Body Text Indent"/>
    <w:lsdException w:unhideWhenUsed="0" w:uiPriority="98" w:name="List Continue"/>
    <w:lsdException w:unhideWhenUsed="0" w:uiPriority="98" w:name="List Continue 2"/>
    <w:lsdException w:unhideWhenUsed="0" w:uiPriority="98" w:name="List Continue 3"/>
    <w:lsdException w:unhideWhenUsed="0" w:uiPriority="98" w:name="List Continue 4"/>
    <w:lsdException w:unhideWhenUsed="0" w:uiPriority="98" w:name="List Continue 5"/>
    <w:lsdException w:qFormat="1" w:unhideWhenUsed="0" w:uiPriority="99" w:name="Message Header"/>
    <w:lsdException w:qFormat="1" w:unhideWhenUsed="0" w:uiPriority="98" w:semiHidden="0" w:name="Subtitle"/>
    <w:lsdException w:unhideWhenUsed="0" w:uiPriority="98" w:name="Salutation"/>
    <w:lsdException w:qFormat="1" w:unhideWhenUsed="0" w:uiPriority="0" w:name="Date"/>
    <w:lsdException w:unhideWhenUsed="0" w:uiPriority="98" w:name="Body Text First Indent"/>
    <w:lsdException w:qFormat="1" w:unhideWhenUsed="0" w:uiPriority="0" w:semiHidden="0" w:name="Body Text First Indent 2"/>
    <w:lsdException w:unhideWhenUsed="0" w:uiPriority="98" w:name="Note Heading"/>
    <w:lsdException w:unhideWhenUsed="0" w:uiPriority="98" w:name="Body Text 2"/>
    <w:lsdException w:unhideWhenUsed="0" w:uiPriority="98" w:name="Body Text 3"/>
    <w:lsdException w:qFormat="1" w:unhideWhenUsed="0" w:uiPriority="0" w:name="Body Text Indent 2"/>
    <w:lsdException w:qFormat="1" w:unhideWhenUsed="0" w:uiPriority="0" w:name="Body Text Indent 3"/>
    <w:lsdException w:unhideWhenUsed="0" w:uiPriority="98" w:name="Block Text"/>
    <w:lsdException w:qFormat="1" w:unhideWhenUsed="0" w:uiPriority="99" w:semiHidden="0" w:name="Hyperlink"/>
    <w:lsdException w:qFormat="1" w:unhideWhenUsed="0" w:uiPriority="98" w:name="FollowedHyperlink"/>
    <w:lsdException w:qFormat="1" w:unhideWhenUsed="0" w:uiPriority="98" w:name="Strong"/>
    <w:lsdException w:qFormat="1" w:unhideWhenUsed="0" w:uiPriority="98" w:name="Emphasis"/>
    <w:lsdException w:qFormat="1" w:unhideWhenUsed="0" w:uiPriority="0" w:name="Document Map"/>
    <w:lsdException w:qFormat="1" w:unhideWhenUsed="0" w:uiPriority="0" w:semiHidden="0" w:name="Plain Text"/>
    <w:lsdException w:qFormat="1" w:unhideWhenUsed="0" w:uiPriority="99" w:name="E-mail Signature"/>
    <w:lsdException w:qFormat="1" w:unhideWhenUsed="0" w:uiPriority="0" w:name="Normal (Web)"/>
    <w:lsdException w:unhideWhenUsed="0" w:uiPriority="98" w:name="HTML Acronym"/>
    <w:lsdException w:unhideWhenUsed="0" w:uiPriority="98" w:name="HTML Address"/>
    <w:lsdException w:unhideWhenUsed="0" w:uiPriority="98" w:name="HTML Cite"/>
    <w:lsdException w:unhideWhenUsed="0" w:uiPriority="98" w:name="HTML Code"/>
    <w:lsdException w:unhideWhenUsed="0" w:uiPriority="98" w:name="HTML Definition"/>
    <w:lsdException w:uiPriority="0" w:name="HTML Keyboard"/>
    <w:lsdException w:unhideWhenUsed="0" w:uiPriority="98" w:name="HTML Preformatted"/>
    <w:lsdException w:unhideWhenUsed="0" w:uiPriority="98" w:name="HTML Sample"/>
    <w:lsdException w:unhideWhenUsed="0" w:uiPriority="98" w:name="HTML Typewriter"/>
    <w:lsdException w:unhideWhenUsed="0" w:uiPriority="98" w:name="HTML Variable"/>
    <w:lsdException w:qFormat="1" w:uiPriority="99" w:name="Normal Table"/>
    <w:lsdException w:qFormat="1" w:unhideWhenUsed="0" w:uiPriority="98"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name="Balloon Text"/>
    <w:lsdException w:qFormat="1" w:unhideWhenUsed="0" w:uiPriority="0" w:semiHidden="0" w:name="Table Grid"/>
    <w:lsdException w:uiPriority="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8"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semiHidden/>
    <w:qFormat/>
    <w:uiPriority w:val="98"/>
    <w:pPr>
      <w:widowControl w:val="0"/>
      <w:jc w:val="both"/>
    </w:pPr>
    <w:rPr>
      <w:rFonts w:ascii="Times New Roman" w:hAnsi="Times New Roman" w:eastAsia="宋体" w:cs="Times New Roman"/>
      <w:kern w:val="2"/>
      <w:sz w:val="21"/>
      <w:lang w:val="en-US" w:eastAsia="zh-CN" w:bidi="ar-SA"/>
    </w:rPr>
  </w:style>
  <w:style w:type="paragraph" w:styleId="2">
    <w:name w:val="heading 1"/>
    <w:basedOn w:val="1"/>
    <w:next w:val="1"/>
    <w:link w:val="67"/>
    <w:semiHidden/>
    <w:qFormat/>
    <w:uiPriority w:val="0"/>
    <w:pPr>
      <w:keepNext/>
      <w:keepLines/>
      <w:spacing w:before="340" w:after="330" w:line="578" w:lineRule="auto"/>
      <w:outlineLvl w:val="0"/>
    </w:pPr>
    <w:rPr>
      <w:b/>
      <w:bCs/>
      <w:kern w:val="44"/>
      <w:sz w:val="44"/>
      <w:szCs w:val="44"/>
    </w:rPr>
  </w:style>
  <w:style w:type="paragraph" w:styleId="3">
    <w:name w:val="heading 2"/>
    <w:basedOn w:val="1"/>
    <w:next w:val="1"/>
    <w:link w:val="81"/>
    <w:semiHidden/>
    <w:qFormat/>
    <w:uiPriority w:val="0"/>
    <w:pPr>
      <w:keepNext/>
      <w:keepLines/>
      <w:spacing w:before="260" w:after="260" w:line="416" w:lineRule="auto"/>
      <w:outlineLvl w:val="1"/>
    </w:pPr>
    <w:rPr>
      <w:rFonts w:asciiTheme="majorHAnsi" w:hAnsiTheme="majorHAnsi" w:eastAsiaTheme="majorEastAsia" w:cstheme="majorBidi"/>
      <w:b/>
      <w:bCs/>
      <w:sz w:val="32"/>
      <w:szCs w:val="32"/>
    </w:rPr>
  </w:style>
  <w:style w:type="paragraph" w:styleId="4">
    <w:name w:val="heading 3"/>
    <w:basedOn w:val="1"/>
    <w:next w:val="1"/>
    <w:link w:val="44"/>
    <w:semiHidden/>
    <w:qFormat/>
    <w:uiPriority w:val="0"/>
    <w:pPr>
      <w:keepNext/>
      <w:keepLines/>
      <w:spacing w:line="416" w:lineRule="auto"/>
      <w:outlineLvl w:val="2"/>
    </w:pPr>
    <w:rPr>
      <w:b/>
      <w:bCs/>
      <w:sz w:val="32"/>
      <w:szCs w:val="32"/>
    </w:rPr>
  </w:style>
  <w:style w:type="paragraph" w:styleId="5">
    <w:name w:val="heading 4"/>
    <w:basedOn w:val="1"/>
    <w:next w:val="1"/>
    <w:link w:val="77"/>
    <w:semiHidden/>
    <w:qFormat/>
    <w:uiPriority w:val="0"/>
    <w:pPr>
      <w:keepNext/>
      <w:keepLines/>
      <w:spacing w:line="360" w:lineRule="auto"/>
      <w:outlineLvl w:val="3"/>
    </w:pPr>
    <w:rPr>
      <w:rFonts w:ascii="Arial" w:hAnsi="Arial"/>
      <w:b/>
      <w:bCs/>
      <w:szCs w:val="28"/>
    </w:rPr>
  </w:style>
  <w:style w:type="paragraph" w:styleId="6">
    <w:name w:val="heading 5"/>
    <w:basedOn w:val="1"/>
    <w:next w:val="1"/>
    <w:link w:val="78"/>
    <w:semiHidden/>
    <w:qFormat/>
    <w:uiPriority w:val="0"/>
    <w:pPr>
      <w:keepNext/>
      <w:numPr>
        <w:ilvl w:val="0"/>
        <w:numId w:val="1"/>
      </w:numPr>
      <w:autoSpaceDE w:val="0"/>
      <w:autoSpaceDN w:val="0"/>
      <w:adjustRightInd w:val="0"/>
      <w:spacing w:line="465" w:lineRule="exact"/>
      <w:jc w:val="left"/>
      <w:outlineLvl w:val="4"/>
    </w:pPr>
    <w:rPr>
      <w:rFonts w:ascii="宋体" w:hAnsi="宋体"/>
      <w:bCs/>
      <w:iCs/>
      <w:color w:val="000000"/>
      <w:kern w:val="0"/>
      <w:sz w:val="28"/>
      <w:szCs w:val="28"/>
    </w:rPr>
  </w:style>
  <w:style w:type="character" w:default="1" w:styleId="33">
    <w:name w:val="Default Paragraph Font"/>
    <w:semiHidden/>
    <w:unhideWhenUsed/>
    <w:qFormat/>
    <w:uiPriority w:val="1"/>
  </w:style>
  <w:style w:type="table" w:default="1" w:styleId="31">
    <w:name w:val="Normal Table"/>
    <w:semiHidden/>
    <w:unhideWhenUsed/>
    <w:qFormat/>
    <w:uiPriority w:val="99"/>
    <w:tblPr>
      <w:tblCellMar>
        <w:top w:w="0" w:type="dxa"/>
        <w:left w:w="108" w:type="dxa"/>
        <w:bottom w:w="0" w:type="dxa"/>
        <w:right w:w="108" w:type="dxa"/>
      </w:tblCellMar>
    </w:tblPr>
  </w:style>
  <w:style w:type="paragraph" w:styleId="7">
    <w:name w:val="E-mail Signature"/>
    <w:basedOn w:val="1"/>
    <w:link w:val="104"/>
    <w:semiHidden/>
    <w:qFormat/>
    <w:uiPriority w:val="99"/>
    <w:pPr>
      <w:spacing w:after="200" w:line="276" w:lineRule="auto"/>
      <w:jc w:val="left"/>
    </w:pPr>
    <w:rPr>
      <w:rFonts w:ascii="Calibri" w:hAnsi="Calibri"/>
      <w:kern w:val="0"/>
      <w:szCs w:val="21"/>
    </w:rPr>
  </w:style>
  <w:style w:type="paragraph" w:styleId="8">
    <w:name w:val="caption"/>
    <w:basedOn w:val="1"/>
    <w:next w:val="1"/>
    <w:semiHidden/>
    <w:qFormat/>
    <w:uiPriority w:val="98"/>
    <w:pPr>
      <w:spacing w:before="152" w:after="160"/>
    </w:pPr>
    <w:rPr>
      <w:rFonts w:ascii="Arial" w:hAnsi="Arial" w:eastAsia="黑体" w:cs="Arial"/>
      <w:sz w:val="20"/>
    </w:rPr>
  </w:style>
  <w:style w:type="paragraph" w:styleId="9">
    <w:name w:val="Document Map"/>
    <w:basedOn w:val="1"/>
    <w:link w:val="93"/>
    <w:semiHidden/>
    <w:qFormat/>
    <w:uiPriority w:val="0"/>
    <w:pPr>
      <w:adjustRightInd w:val="0"/>
      <w:spacing w:line="312" w:lineRule="atLeast"/>
      <w:textAlignment w:val="baseline"/>
    </w:pPr>
    <w:rPr>
      <w:rFonts w:ascii="宋体"/>
      <w:kern w:val="0"/>
      <w:sz w:val="18"/>
      <w:szCs w:val="18"/>
    </w:rPr>
  </w:style>
  <w:style w:type="paragraph" w:styleId="10">
    <w:name w:val="annotation text"/>
    <w:basedOn w:val="1"/>
    <w:link w:val="46"/>
    <w:qFormat/>
    <w:uiPriority w:val="99"/>
    <w:pPr>
      <w:jc w:val="left"/>
    </w:pPr>
  </w:style>
  <w:style w:type="paragraph" w:styleId="11">
    <w:name w:val="Body Text"/>
    <w:basedOn w:val="1"/>
    <w:next w:val="12"/>
    <w:link w:val="42"/>
    <w:semiHidden/>
    <w:qFormat/>
    <w:uiPriority w:val="98"/>
    <w:rPr>
      <w:rFonts w:ascii="仿宋_GB2312" w:eastAsia="仿宋_GB2312"/>
      <w:sz w:val="32"/>
    </w:rPr>
  </w:style>
  <w:style w:type="paragraph" w:customStyle="1" w:styleId="12">
    <w:name w:val="Default"/>
    <w:qFormat/>
    <w:uiPriority w:val="0"/>
    <w:pPr>
      <w:widowControl w:val="0"/>
      <w:autoSpaceDE w:val="0"/>
      <w:autoSpaceDN w:val="0"/>
      <w:adjustRightInd w:val="0"/>
    </w:pPr>
    <w:rPr>
      <w:rFonts w:ascii="仿宋_GB2312" w:hAnsi="Calibri" w:eastAsia="仿宋_GB2312" w:cs="仿宋_GB2312"/>
      <w:color w:val="000000"/>
      <w:sz w:val="24"/>
      <w:szCs w:val="24"/>
      <w:lang w:val="en-US" w:eastAsia="zh-CN" w:bidi="ar-SA"/>
    </w:rPr>
  </w:style>
  <w:style w:type="paragraph" w:styleId="13">
    <w:name w:val="Body Text Indent"/>
    <w:basedOn w:val="1"/>
    <w:next w:val="1"/>
    <w:link w:val="49"/>
    <w:semiHidden/>
    <w:qFormat/>
    <w:uiPriority w:val="0"/>
    <w:pPr>
      <w:spacing w:after="120"/>
      <w:ind w:left="420" w:leftChars="200"/>
    </w:pPr>
    <w:rPr>
      <w:rFonts w:ascii="Calibri" w:hAnsi="Calibri"/>
      <w:szCs w:val="22"/>
    </w:rPr>
  </w:style>
  <w:style w:type="paragraph" w:styleId="14">
    <w:name w:val="toc 3"/>
    <w:basedOn w:val="1"/>
    <w:next w:val="1"/>
    <w:semiHidden/>
    <w:qFormat/>
    <w:uiPriority w:val="39"/>
    <w:pPr>
      <w:adjustRightInd w:val="0"/>
      <w:spacing w:line="312" w:lineRule="atLeast"/>
      <w:ind w:left="840" w:leftChars="400"/>
      <w:textAlignment w:val="baseline"/>
    </w:pPr>
    <w:rPr>
      <w:kern w:val="0"/>
      <w:sz w:val="24"/>
    </w:rPr>
  </w:style>
  <w:style w:type="paragraph" w:styleId="15">
    <w:name w:val="Plain Text"/>
    <w:basedOn w:val="1"/>
    <w:link w:val="51"/>
    <w:qFormat/>
    <w:uiPriority w:val="0"/>
    <w:rPr>
      <w:rFonts w:ascii="宋体" w:hAnsi="Courier New"/>
    </w:rPr>
  </w:style>
  <w:style w:type="paragraph" w:styleId="16">
    <w:name w:val="Date"/>
    <w:basedOn w:val="1"/>
    <w:next w:val="1"/>
    <w:link w:val="87"/>
    <w:semiHidden/>
    <w:qFormat/>
    <w:uiPriority w:val="0"/>
    <w:pPr>
      <w:adjustRightInd w:val="0"/>
      <w:spacing w:line="312" w:lineRule="atLeast"/>
      <w:ind w:left="100" w:leftChars="2500"/>
      <w:textAlignment w:val="baseline"/>
    </w:pPr>
    <w:rPr>
      <w:kern w:val="0"/>
      <w:sz w:val="24"/>
    </w:rPr>
  </w:style>
  <w:style w:type="paragraph" w:styleId="17">
    <w:name w:val="Body Text Indent 2"/>
    <w:basedOn w:val="1"/>
    <w:link w:val="86"/>
    <w:semiHidden/>
    <w:qFormat/>
    <w:uiPriority w:val="0"/>
    <w:pPr>
      <w:adjustRightInd w:val="0"/>
      <w:spacing w:after="120" w:line="480" w:lineRule="auto"/>
      <w:ind w:left="420" w:leftChars="200"/>
      <w:textAlignment w:val="baseline"/>
    </w:pPr>
    <w:rPr>
      <w:kern w:val="0"/>
      <w:sz w:val="24"/>
    </w:rPr>
  </w:style>
  <w:style w:type="paragraph" w:styleId="18">
    <w:name w:val="Balloon Text"/>
    <w:basedOn w:val="1"/>
    <w:link w:val="48"/>
    <w:semiHidden/>
    <w:qFormat/>
    <w:uiPriority w:val="0"/>
    <w:rPr>
      <w:sz w:val="18"/>
      <w:szCs w:val="18"/>
    </w:rPr>
  </w:style>
  <w:style w:type="paragraph" w:styleId="19">
    <w:name w:val="footer"/>
    <w:basedOn w:val="1"/>
    <w:link w:val="43"/>
    <w:semiHidden/>
    <w:qFormat/>
    <w:uiPriority w:val="0"/>
    <w:pPr>
      <w:tabs>
        <w:tab w:val="center" w:pos="4153"/>
        <w:tab w:val="right" w:pos="8306"/>
      </w:tabs>
      <w:snapToGrid w:val="0"/>
      <w:jc w:val="left"/>
    </w:pPr>
    <w:rPr>
      <w:sz w:val="18"/>
      <w:szCs w:val="18"/>
    </w:rPr>
  </w:style>
  <w:style w:type="paragraph" w:styleId="20">
    <w:name w:val="header"/>
    <w:basedOn w:val="1"/>
    <w:link w:val="53"/>
    <w:semiHidden/>
    <w:qFormat/>
    <w:uiPriority w:val="0"/>
    <w:pPr>
      <w:pBdr>
        <w:bottom w:val="single" w:color="auto" w:sz="6" w:space="1"/>
      </w:pBdr>
      <w:tabs>
        <w:tab w:val="center" w:pos="4153"/>
        <w:tab w:val="right" w:pos="8306"/>
      </w:tabs>
      <w:snapToGrid w:val="0"/>
      <w:jc w:val="center"/>
    </w:pPr>
    <w:rPr>
      <w:sz w:val="18"/>
      <w:szCs w:val="18"/>
    </w:rPr>
  </w:style>
  <w:style w:type="paragraph" w:styleId="21">
    <w:name w:val="toc 1"/>
    <w:basedOn w:val="1"/>
    <w:next w:val="1"/>
    <w:qFormat/>
    <w:uiPriority w:val="39"/>
    <w:pPr>
      <w:tabs>
        <w:tab w:val="right" w:leader="dot" w:pos="8729"/>
      </w:tabs>
      <w:spacing w:line="480" w:lineRule="auto"/>
      <w:jc w:val="left"/>
    </w:pPr>
    <w:rPr>
      <w:rFonts w:ascii="宋体" w:hAnsi="宋体"/>
      <w:b/>
      <w:caps/>
      <w:sz w:val="28"/>
      <w:szCs w:val="28"/>
    </w:rPr>
  </w:style>
  <w:style w:type="paragraph" w:styleId="22">
    <w:name w:val="List"/>
    <w:basedOn w:val="1"/>
    <w:qFormat/>
    <w:uiPriority w:val="0"/>
    <w:pPr>
      <w:ind w:left="200" w:hanging="200" w:hangingChars="200"/>
    </w:pPr>
    <w:rPr>
      <w:szCs w:val="21"/>
    </w:rPr>
  </w:style>
  <w:style w:type="paragraph" w:styleId="23">
    <w:name w:val="Body Text Indent 3"/>
    <w:basedOn w:val="1"/>
    <w:link w:val="83"/>
    <w:semiHidden/>
    <w:qFormat/>
    <w:uiPriority w:val="0"/>
    <w:pPr>
      <w:spacing w:line="360" w:lineRule="auto"/>
      <w:ind w:left="1347" w:leftChars="413" w:hanging="480" w:hangingChars="200"/>
    </w:pPr>
    <w:rPr>
      <w:rFonts w:ascii="宋体" w:hAnsi="宋体"/>
      <w:color w:val="FF0000"/>
      <w:sz w:val="24"/>
      <w:szCs w:val="24"/>
    </w:rPr>
  </w:style>
  <w:style w:type="paragraph" w:styleId="24">
    <w:name w:val="index 9"/>
    <w:basedOn w:val="1"/>
    <w:next w:val="1"/>
    <w:autoRedefine/>
    <w:semiHidden/>
    <w:qFormat/>
    <w:uiPriority w:val="98"/>
    <w:pPr>
      <w:ind w:left="1600" w:leftChars="1600"/>
    </w:pPr>
  </w:style>
  <w:style w:type="paragraph" w:styleId="25">
    <w:name w:val="toc 2"/>
    <w:basedOn w:val="1"/>
    <w:next w:val="1"/>
    <w:qFormat/>
    <w:uiPriority w:val="39"/>
    <w:pPr>
      <w:ind w:left="420" w:leftChars="200"/>
    </w:pPr>
  </w:style>
  <w:style w:type="paragraph" w:styleId="26">
    <w:name w:val="Message Header"/>
    <w:basedOn w:val="1"/>
    <w:link w:val="108"/>
    <w:semiHidden/>
    <w:qFormat/>
    <w:uiPriority w:val="99"/>
    <w:pPr>
      <w:pBdr>
        <w:top w:val="single" w:color="auto" w:sz="6" w:space="1"/>
        <w:left w:val="single" w:color="auto" w:sz="6" w:space="1"/>
        <w:bottom w:val="single" w:color="auto" w:sz="6" w:space="1"/>
        <w:right w:val="single" w:color="auto" w:sz="6" w:space="1"/>
      </w:pBdr>
      <w:shd w:val="pct20" w:color="auto" w:fill="auto"/>
      <w:spacing w:after="200" w:line="276" w:lineRule="auto"/>
      <w:ind w:left="1080" w:leftChars="500" w:hanging="1080" w:hangingChars="500"/>
      <w:jc w:val="left"/>
    </w:pPr>
    <w:rPr>
      <w:rFonts w:ascii="Cambria" w:hAnsi="Cambria" w:cs="Cambria"/>
      <w:kern w:val="0"/>
      <w:sz w:val="24"/>
      <w:szCs w:val="24"/>
    </w:rPr>
  </w:style>
  <w:style w:type="paragraph" w:styleId="27">
    <w:name w:val="Normal (Web)"/>
    <w:basedOn w:val="1"/>
    <w:semiHidden/>
    <w:qFormat/>
    <w:uiPriority w:val="0"/>
    <w:pPr>
      <w:widowControl/>
      <w:adjustRightInd w:val="0"/>
      <w:spacing w:before="100" w:beforeAutospacing="1" w:after="100" w:afterAutospacing="1" w:line="312" w:lineRule="atLeast"/>
      <w:jc w:val="left"/>
      <w:textAlignment w:val="baseline"/>
    </w:pPr>
    <w:rPr>
      <w:rFonts w:ascii="宋体" w:hAnsi="宋体" w:cs="宋体"/>
      <w:kern w:val="0"/>
      <w:sz w:val="24"/>
      <w:szCs w:val="24"/>
    </w:rPr>
  </w:style>
  <w:style w:type="paragraph" w:styleId="28">
    <w:name w:val="Title"/>
    <w:basedOn w:val="1"/>
    <w:next w:val="1"/>
    <w:link w:val="70"/>
    <w:semiHidden/>
    <w:qFormat/>
    <w:uiPriority w:val="0"/>
    <w:pPr>
      <w:spacing w:before="240" w:after="60"/>
      <w:jc w:val="center"/>
      <w:outlineLvl w:val="0"/>
    </w:pPr>
    <w:rPr>
      <w:rFonts w:eastAsia="黑体" w:asciiTheme="majorHAnsi" w:hAnsiTheme="majorHAnsi" w:cstheme="majorBidi"/>
      <w:b/>
      <w:bCs/>
      <w:sz w:val="36"/>
      <w:szCs w:val="32"/>
    </w:rPr>
  </w:style>
  <w:style w:type="paragraph" w:styleId="29">
    <w:name w:val="annotation subject"/>
    <w:basedOn w:val="10"/>
    <w:next w:val="10"/>
    <w:link w:val="54"/>
    <w:semiHidden/>
    <w:qFormat/>
    <w:uiPriority w:val="98"/>
    <w:rPr>
      <w:b/>
      <w:bCs/>
    </w:rPr>
  </w:style>
  <w:style w:type="paragraph" w:styleId="30">
    <w:name w:val="Body Text First Indent 2"/>
    <w:basedOn w:val="13"/>
    <w:next w:val="25"/>
    <w:qFormat/>
    <w:uiPriority w:val="0"/>
    <w:pPr>
      <w:spacing w:line="276" w:lineRule="auto"/>
      <w:ind w:left="200" w:firstLine="200" w:firstLineChars="200"/>
      <w:jc w:val="left"/>
    </w:pPr>
  </w:style>
  <w:style w:type="table" w:styleId="32">
    <w:name w:val="Table Grid"/>
    <w:basedOn w:val="31"/>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34">
    <w:name w:val="Strong"/>
    <w:semiHidden/>
    <w:qFormat/>
    <w:uiPriority w:val="98"/>
    <w:rPr>
      <w:b/>
    </w:rPr>
  </w:style>
  <w:style w:type="character" w:styleId="35">
    <w:name w:val="page number"/>
    <w:basedOn w:val="33"/>
    <w:semiHidden/>
    <w:qFormat/>
    <w:uiPriority w:val="0"/>
  </w:style>
  <w:style w:type="character" w:styleId="36">
    <w:name w:val="FollowedHyperlink"/>
    <w:semiHidden/>
    <w:qFormat/>
    <w:uiPriority w:val="98"/>
    <w:rPr>
      <w:color w:val="800080"/>
      <w:u w:val="single"/>
    </w:rPr>
  </w:style>
  <w:style w:type="character" w:styleId="37">
    <w:name w:val="Emphasis"/>
    <w:semiHidden/>
    <w:qFormat/>
    <w:uiPriority w:val="98"/>
    <w:rPr>
      <w:i/>
      <w:iCs/>
    </w:rPr>
  </w:style>
  <w:style w:type="character" w:styleId="38">
    <w:name w:val="Hyperlink"/>
    <w:basedOn w:val="33"/>
    <w:qFormat/>
    <w:uiPriority w:val="99"/>
    <w:rPr>
      <w:rFonts w:cs="Times New Roman"/>
      <w:color w:val="1F4F88"/>
      <w:u w:val="none"/>
    </w:rPr>
  </w:style>
  <w:style w:type="character" w:styleId="39">
    <w:name w:val="annotation reference"/>
    <w:semiHidden/>
    <w:qFormat/>
    <w:uiPriority w:val="98"/>
    <w:rPr>
      <w:sz w:val="21"/>
      <w:szCs w:val="21"/>
    </w:rPr>
  </w:style>
  <w:style w:type="character" w:customStyle="1" w:styleId="40">
    <w:name w:val="Char Char3"/>
    <w:semiHidden/>
    <w:qFormat/>
    <w:uiPriority w:val="98"/>
    <w:rPr>
      <w:rFonts w:ascii="宋体" w:hAnsi="Courier New" w:eastAsia="宋体"/>
      <w:kern w:val="2"/>
      <w:sz w:val="21"/>
      <w:lang w:val="en-US" w:eastAsia="zh-CN" w:bidi="ar-SA"/>
    </w:rPr>
  </w:style>
  <w:style w:type="character" w:customStyle="1" w:styleId="41">
    <w:name w:val="纯文本 Char"/>
    <w:semiHidden/>
    <w:qFormat/>
    <w:uiPriority w:val="98"/>
    <w:rPr>
      <w:rFonts w:ascii="宋体" w:hAnsi="Courier New" w:eastAsia="宋体"/>
      <w:kern w:val="2"/>
      <w:sz w:val="21"/>
      <w:lang w:val="en-US" w:eastAsia="zh-CN" w:bidi="ar-SA"/>
    </w:rPr>
  </w:style>
  <w:style w:type="character" w:customStyle="1" w:styleId="42">
    <w:name w:val="正文文本 字符"/>
    <w:link w:val="11"/>
    <w:semiHidden/>
    <w:qFormat/>
    <w:uiPriority w:val="98"/>
    <w:rPr>
      <w:rFonts w:ascii="仿宋_GB2312" w:eastAsia="仿宋_GB2312"/>
      <w:kern w:val="2"/>
      <w:sz w:val="32"/>
    </w:rPr>
  </w:style>
  <w:style w:type="character" w:customStyle="1" w:styleId="43">
    <w:name w:val="页脚 字符"/>
    <w:link w:val="19"/>
    <w:semiHidden/>
    <w:qFormat/>
    <w:uiPriority w:val="0"/>
    <w:rPr>
      <w:kern w:val="2"/>
      <w:sz w:val="18"/>
      <w:szCs w:val="18"/>
    </w:rPr>
  </w:style>
  <w:style w:type="character" w:customStyle="1" w:styleId="44">
    <w:name w:val="标题 3 字符"/>
    <w:link w:val="4"/>
    <w:semiHidden/>
    <w:qFormat/>
    <w:uiPriority w:val="0"/>
    <w:rPr>
      <w:b/>
      <w:bCs/>
      <w:kern w:val="2"/>
      <w:sz w:val="32"/>
      <w:szCs w:val="32"/>
    </w:rPr>
  </w:style>
  <w:style w:type="character" w:customStyle="1" w:styleId="45">
    <w:name w:val="正文文本 Char"/>
    <w:semiHidden/>
    <w:qFormat/>
    <w:uiPriority w:val="98"/>
    <w:rPr>
      <w:rFonts w:ascii="仿宋_GB2312" w:eastAsia="仿宋_GB2312"/>
      <w:kern w:val="2"/>
      <w:sz w:val="32"/>
    </w:rPr>
  </w:style>
  <w:style w:type="character" w:customStyle="1" w:styleId="46">
    <w:name w:val="批注文字 字符"/>
    <w:link w:val="10"/>
    <w:qFormat/>
    <w:uiPriority w:val="99"/>
    <w:rPr>
      <w:kern w:val="2"/>
      <w:sz w:val="21"/>
    </w:rPr>
  </w:style>
  <w:style w:type="character" w:customStyle="1" w:styleId="47">
    <w:name w:val="apple-converted-space"/>
    <w:basedOn w:val="33"/>
    <w:semiHidden/>
    <w:qFormat/>
    <w:uiPriority w:val="98"/>
  </w:style>
  <w:style w:type="character" w:customStyle="1" w:styleId="48">
    <w:name w:val="批注框文本 字符"/>
    <w:link w:val="18"/>
    <w:semiHidden/>
    <w:qFormat/>
    <w:uiPriority w:val="98"/>
    <w:rPr>
      <w:kern w:val="2"/>
      <w:sz w:val="18"/>
      <w:szCs w:val="18"/>
    </w:rPr>
  </w:style>
  <w:style w:type="character" w:customStyle="1" w:styleId="49">
    <w:name w:val="正文文本缩进 字符"/>
    <w:link w:val="13"/>
    <w:semiHidden/>
    <w:qFormat/>
    <w:uiPriority w:val="0"/>
    <w:rPr>
      <w:rFonts w:ascii="Calibri" w:hAnsi="Calibri"/>
      <w:kern w:val="2"/>
      <w:sz w:val="21"/>
      <w:szCs w:val="22"/>
    </w:rPr>
  </w:style>
  <w:style w:type="character" w:customStyle="1" w:styleId="50">
    <w:name w:val="Char Char5"/>
    <w:semiHidden/>
    <w:qFormat/>
    <w:uiPriority w:val="98"/>
    <w:rPr>
      <w:rFonts w:ascii="宋体" w:hAnsi="Courier New" w:eastAsia="宋体"/>
      <w:kern w:val="2"/>
      <w:sz w:val="21"/>
      <w:lang w:val="en-US" w:eastAsia="zh-CN" w:bidi="ar-SA"/>
    </w:rPr>
  </w:style>
  <w:style w:type="character" w:customStyle="1" w:styleId="51">
    <w:name w:val="纯文本 字符1"/>
    <w:link w:val="15"/>
    <w:semiHidden/>
    <w:qFormat/>
    <w:uiPriority w:val="0"/>
    <w:rPr>
      <w:rFonts w:ascii="宋体" w:hAnsi="Courier New"/>
      <w:kern w:val="2"/>
      <w:sz w:val="21"/>
    </w:rPr>
  </w:style>
  <w:style w:type="character" w:customStyle="1" w:styleId="52">
    <w:name w:val="纯文本 字符"/>
    <w:semiHidden/>
    <w:qFormat/>
    <w:uiPriority w:val="98"/>
    <w:rPr>
      <w:rFonts w:ascii="宋体" w:hAnsi="Courier New" w:eastAsia="宋体"/>
    </w:rPr>
  </w:style>
  <w:style w:type="character" w:customStyle="1" w:styleId="53">
    <w:name w:val="页眉 字符"/>
    <w:link w:val="20"/>
    <w:semiHidden/>
    <w:qFormat/>
    <w:uiPriority w:val="0"/>
    <w:rPr>
      <w:kern w:val="2"/>
      <w:sz w:val="18"/>
      <w:szCs w:val="18"/>
    </w:rPr>
  </w:style>
  <w:style w:type="character" w:customStyle="1" w:styleId="54">
    <w:name w:val="批注主题 字符"/>
    <w:link w:val="29"/>
    <w:semiHidden/>
    <w:qFormat/>
    <w:uiPriority w:val="98"/>
    <w:rPr>
      <w:b/>
      <w:bCs/>
      <w:kern w:val="2"/>
      <w:sz w:val="21"/>
    </w:rPr>
  </w:style>
  <w:style w:type="character" w:customStyle="1" w:styleId="55">
    <w:name w:val="Char Char2"/>
    <w:semiHidden/>
    <w:qFormat/>
    <w:uiPriority w:val="98"/>
    <w:rPr>
      <w:rFonts w:ascii="宋体" w:hAnsi="Courier New" w:cs="宋体"/>
      <w:kern w:val="2"/>
      <w:sz w:val="21"/>
      <w:szCs w:val="21"/>
    </w:rPr>
  </w:style>
  <w:style w:type="character" w:customStyle="1" w:styleId="56">
    <w:name w:val="HTML Markup"/>
    <w:semiHidden/>
    <w:qFormat/>
    <w:uiPriority w:val="98"/>
    <w:rPr>
      <w:vanish/>
      <w:color w:val="FF0000"/>
    </w:rPr>
  </w:style>
  <w:style w:type="character" w:customStyle="1" w:styleId="57">
    <w:name w:val="纯文本 Char3"/>
    <w:semiHidden/>
    <w:qFormat/>
    <w:uiPriority w:val="98"/>
    <w:rPr>
      <w:rFonts w:ascii="宋体" w:hAnsi="Courier New" w:eastAsia="宋体"/>
      <w:kern w:val="2"/>
      <w:sz w:val="21"/>
      <w:lang w:val="en-US" w:eastAsia="zh-CN" w:bidi="ar-SA"/>
    </w:rPr>
  </w:style>
  <w:style w:type="character" w:customStyle="1" w:styleId="58">
    <w:name w:val="正文文本缩进 Char"/>
    <w:link w:val="59"/>
    <w:semiHidden/>
    <w:qFormat/>
    <w:uiPriority w:val="98"/>
    <w:rPr>
      <w:kern w:val="2"/>
      <w:sz w:val="21"/>
    </w:rPr>
  </w:style>
  <w:style w:type="paragraph" w:customStyle="1" w:styleId="59">
    <w:name w:val="正文文本缩进1"/>
    <w:basedOn w:val="1"/>
    <w:link w:val="58"/>
    <w:semiHidden/>
    <w:qFormat/>
    <w:uiPriority w:val="98"/>
    <w:pPr>
      <w:spacing w:after="120"/>
      <w:ind w:left="420" w:leftChars="200"/>
    </w:pPr>
  </w:style>
  <w:style w:type="paragraph" w:customStyle="1" w:styleId="60">
    <w:name w:val="1"/>
    <w:basedOn w:val="1"/>
    <w:semiHidden/>
    <w:qFormat/>
    <w:uiPriority w:val="98"/>
    <w:pPr>
      <w:widowControl/>
      <w:spacing w:before="100" w:beforeAutospacing="1" w:after="100" w:afterAutospacing="1"/>
      <w:jc w:val="left"/>
    </w:pPr>
    <w:rPr>
      <w:rFonts w:hint="eastAsia" w:ascii="宋体" w:hAnsi="宋体"/>
      <w:kern w:val="0"/>
      <w:sz w:val="24"/>
      <w:szCs w:val="24"/>
    </w:rPr>
  </w:style>
  <w:style w:type="paragraph" w:customStyle="1" w:styleId="61">
    <w:name w:val="2"/>
    <w:basedOn w:val="1"/>
    <w:semiHidden/>
    <w:qFormat/>
    <w:uiPriority w:val="98"/>
    <w:pPr>
      <w:widowControl/>
      <w:spacing w:after="160" w:line="240" w:lineRule="exact"/>
      <w:jc w:val="left"/>
    </w:pPr>
    <w:rPr>
      <w:rFonts w:ascii="Arial" w:hAnsi="Arial" w:eastAsia="Times New Roman" w:cs="Verdana"/>
      <w:b/>
      <w:kern w:val="0"/>
      <w:sz w:val="24"/>
      <w:szCs w:val="24"/>
      <w:lang w:eastAsia="en-US" w:bidi="th-TH"/>
    </w:rPr>
  </w:style>
  <w:style w:type="paragraph" w:customStyle="1" w:styleId="62">
    <w:name w:val="Char Char Char Char Char Char1 Char"/>
    <w:basedOn w:val="1"/>
    <w:semiHidden/>
    <w:qFormat/>
    <w:uiPriority w:val="98"/>
    <w:pPr>
      <w:widowControl/>
      <w:spacing w:after="160" w:line="240" w:lineRule="exact"/>
      <w:jc w:val="left"/>
    </w:pPr>
    <w:rPr>
      <w:rFonts w:ascii="Arial" w:hAnsi="Arial" w:eastAsia="Times New Roman" w:cs="Verdana"/>
      <w:b/>
      <w:kern w:val="0"/>
      <w:sz w:val="24"/>
      <w:szCs w:val="24"/>
      <w:lang w:eastAsia="en-US" w:bidi="th-TH"/>
    </w:rPr>
  </w:style>
  <w:style w:type="paragraph" w:styleId="63">
    <w:name w:val="List Paragraph"/>
    <w:basedOn w:val="1"/>
    <w:semiHidden/>
    <w:qFormat/>
    <w:uiPriority w:val="98"/>
    <w:pPr>
      <w:ind w:firstLine="420" w:firstLineChars="200"/>
    </w:pPr>
    <w:rPr>
      <w:rFonts w:ascii="Calibri" w:hAnsi="Calibri"/>
      <w:szCs w:val="22"/>
    </w:rPr>
  </w:style>
  <w:style w:type="paragraph" w:customStyle="1" w:styleId="64">
    <w:name w:val="列出段落1"/>
    <w:basedOn w:val="1"/>
    <w:semiHidden/>
    <w:qFormat/>
    <w:uiPriority w:val="98"/>
    <w:pPr>
      <w:ind w:firstLine="420" w:firstLineChars="200"/>
    </w:pPr>
    <w:rPr>
      <w:rFonts w:ascii="Calibri" w:hAnsi="Calibri"/>
      <w:szCs w:val="22"/>
    </w:rPr>
  </w:style>
  <w:style w:type="paragraph" w:customStyle="1" w:styleId="65">
    <w:name w:val="二级列表 Char"/>
    <w:basedOn w:val="1"/>
    <w:semiHidden/>
    <w:qFormat/>
    <w:uiPriority w:val="98"/>
    <w:rPr>
      <w:rFonts w:ascii="Calibri" w:hAnsi="Calibri"/>
    </w:rPr>
  </w:style>
  <w:style w:type="character" w:customStyle="1" w:styleId="66">
    <w:name w:val="style61"/>
    <w:semiHidden/>
    <w:qFormat/>
    <w:uiPriority w:val="98"/>
  </w:style>
  <w:style w:type="character" w:customStyle="1" w:styleId="67">
    <w:name w:val="标题 1 字符"/>
    <w:basedOn w:val="33"/>
    <w:link w:val="2"/>
    <w:semiHidden/>
    <w:qFormat/>
    <w:uiPriority w:val="0"/>
    <w:rPr>
      <w:b/>
      <w:bCs/>
      <w:kern w:val="44"/>
      <w:sz w:val="44"/>
      <w:szCs w:val="44"/>
    </w:rPr>
  </w:style>
  <w:style w:type="paragraph" w:customStyle="1" w:styleId="68">
    <w:name w:val="TOC 标题1"/>
    <w:basedOn w:val="2"/>
    <w:next w:val="1"/>
    <w:semiHidden/>
    <w:qFormat/>
    <w:uiPriority w:val="39"/>
    <w:pPr>
      <w:widowControl/>
      <w:spacing w:before="240" w:after="0" w:line="259" w:lineRule="auto"/>
      <w:jc w:val="left"/>
      <w:outlineLvl w:val="9"/>
    </w:pPr>
    <w:rPr>
      <w:rFonts w:asciiTheme="majorHAnsi" w:hAnsiTheme="majorHAnsi" w:eastAsiaTheme="majorEastAsia" w:cstheme="majorBidi"/>
      <w:b w:val="0"/>
      <w:bCs w:val="0"/>
      <w:color w:val="2E75B6" w:themeColor="accent1" w:themeShade="BF"/>
      <w:kern w:val="0"/>
      <w:sz w:val="32"/>
      <w:szCs w:val="32"/>
    </w:rPr>
  </w:style>
  <w:style w:type="character" w:customStyle="1" w:styleId="69">
    <w:name w:val="标题 2 字符"/>
    <w:basedOn w:val="33"/>
    <w:link w:val="3"/>
    <w:semiHidden/>
    <w:qFormat/>
    <w:uiPriority w:val="0"/>
    <w:rPr>
      <w:rFonts w:asciiTheme="majorHAnsi" w:hAnsiTheme="majorHAnsi" w:eastAsiaTheme="majorEastAsia" w:cstheme="majorBidi"/>
      <w:b/>
      <w:bCs/>
      <w:kern w:val="2"/>
      <w:sz w:val="32"/>
      <w:szCs w:val="32"/>
    </w:rPr>
  </w:style>
  <w:style w:type="character" w:customStyle="1" w:styleId="70">
    <w:name w:val="标题 字符"/>
    <w:basedOn w:val="33"/>
    <w:link w:val="28"/>
    <w:semiHidden/>
    <w:qFormat/>
    <w:uiPriority w:val="0"/>
    <w:rPr>
      <w:rFonts w:eastAsia="黑体" w:asciiTheme="majorHAnsi" w:hAnsiTheme="majorHAnsi" w:cstheme="majorBidi"/>
      <w:b/>
      <w:bCs/>
      <w:kern w:val="2"/>
      <w:sz w:val="36"/>
      <w:szCs w:val="32"/>
    </w:rPr>
  </w:style>
  <w:style w:type="paragraph" w:customStyle="1" w:styleId="71">
    <w:name w:val="章节"/>
    <w:basedOn w:val="15"/>
    <w:qFormat/>
    <w:uiPriority w:val="0"/>
    <w:pPr>
      <w:spacing w:line="360" w:lineRule="auto"/>
      <w:jc w:val="center"/>
      <w:outlineLvl w:val="0"/>
    </w:pPr>
    <w:rPr>
      <w:rFonts w:ascii="黑体" w:eastAsia="黑体"/>
      <w:b/>
      <w:bCs/>
      <w:sz w:val="36"/>
      <w:szCs w:val="36"/>
    </w:rPr>
  </w:style>
  <w:style w:type="paragraph" w:customStyle="1" w:styleId="72">
    <w:name w:val="一级标题"/>
    <w:basedOn w:val="15"/>
    <w:qFormat/>
    <w:uiPriority w:val="1"/>
    <w:pPr>
      <w:numPr>
        <w:ilvl w:val="0"/>
        <w:numId w:val="2"/>
      </w:numPr>
      <w:spacing w:line="360" w:lineRule="auto"/>
      <w:ind w:left="420"/>
      <w:outlineLvl w:val="1"/>
    </w:pPr>
    <w:rPr>
      <w:rFonts w:ascii="黑体" w:eastAsia="黑体"/>
      <w:b/>
      <w:bCs/>
      <w:sz w:val="28"/>
    </w:rPr>
  </w:style>
  <w:style w:type="paragraph" w:customStyle="1" w:styleId="73">
    <w:name w:val="（二）级标题"/>
    <w:basedOn w:val="15"/>
    <w:qFormat/>
    <w:uiPriority w:val="2"/>
    <w:pPr>
      <w:numPr>
        <w:ilvl w:val="0"/>
        <w:numId w:val="3"/>
      </w:numPr>
      <w:spacing w:line="360" w:lineRule="auto"/>
      <w:outlineLvl w:val="2"/>
    </w:pPr>
    <w:rPr>
      <w:b/>
    </w:rPr>
  </w:style>
  <w:style w:type="paragraph" w:customStyle="1" w:styleId="74">
    <w:name w:val="3级标题"/>
    <w:basedOn w:val="15"/>
    <w:link w:val="102"/>
    <w:qFormat/>
    <w:uiPriority w:val="3"/>
    <w:pPr>
      <w:numPr>
        <w:ilvl w:val="0"/>
        <w:numId w:val="4"/>
      </w:numPr>
      <w:spacing w:line="360" w:lineRule="auto"/>
      <w:outlineLvl w:val="3"/>
    </w:pPr>
    <w:rPr>
      <w:b/>
    </w:rPr>
  </w:style>
  <w:style w:type="paragraph" w:customStyle="1" w:styleId="75">
    <w:name w:val="（4）级标题"/>
    <w:basedOn w:val="15"/>
    <w:qFormat/>
    <w:uiPriority w:val="8"/>
    <w:pPr>
      <w:numPr>
        <w:ilvl w:val="0"/>
        <w:numId w:val="5"/>
      </w:numPr>
      <w:spacing w:line="360" w:lineRule="auto"/>
      <w:outlineLvl w:val="4"/>
    </w:pPr>
  </w:style>
  <w:style w:type="paragraph" w:customStyle="1" w:styleId="76">
    <w:name w:val="标书正文"/>
    <w:basedOn w:val="15"/>
    <w:link w:val="97"/>
    <w:qFormat/>
    <w:uiPriority w:val="9"/>
    <w:pPr>
      <w:spacing w:line="360" w:lineRule="auto"/>
      <w:jc w:val="left"/>
    </w:pPr>
  </w:style>
  <w:style w:type="character" w:customStyle="1" w:styleId="77">
    <w:name w:val="标题 4 字符"/>
    <w:basedOn w:val="33"/>
    <w:link w:val="5"/>
    <w:semiHidden/>
    <w:qFormat/>
    <w:uiPriority w:val="0"/>
    <w:rPr>
      <w:rFonts w:ascii="Arial" w:hAnsi="Arial"/>
      <w:b/>
      <w:bCs/>
      <w:kern w:val="2"/>
      <w:sz w:val="21"/>
      <w:szCs w:val="28"/>
    </w:rPr>
  </w:style>
  <w:style w:type="character" w:customStyle="1" w:styleId="78">
    <w:name w:val="标题 5 字符"/>
    <w:basedOn w:val="33"/>
    <w:link w:val="6"/>
    <w:semiHidden/>
    <w:qFormat/>
    <w:uiPriority w:val="0"/>
    <w:rPr>
      <w:rFonts w:ascii="宋体" w:hAnsi="宋体"/>
      <w:bCs/>
      <w:iCs/>
      <w:color w:val="000000"/>
      <w:sz w:val="28"/>
      <w:szCs w:val="28"/>
    </w:rPr>
  </w:style>
  <w:style w:type="paragraph" w:customStyle="1" w:styleId="79">
    <w:name w:val="3"/>
    <w:qFormat/>
    <w:uiPriority w:val="0"/>
    <w:pPr>
      <w:widowControl w:val="0"/>
      <w:jc w:val="both"/>
    </w:pPr>
    <w:rPr>
      <w:rFonts w:ascii="Times New Roman" w:hAnsi="Times New Roman" w:eastAsia="宋体" w:cs="Times New Roman"/>
      <w:kern w:val="2"/>
      <w:sz w:val="21"/>
      <w:lang w:val="en-US" w:eastAsia="zh-CN" w:bidi="ar-SA"/>
    </w:rPr>
  </w:style>
  <w:style w:type="character" w:customStyle="1" w:styleId="80">
    <w:name w:val="case31"/>
    <w:qFormat/>
    <w:uiPriority w:val="0"/>
    <w:rPr>
      <w:rFonts w:hint="default" w:ascii="ˎ̥" w:hAnsi="ˎ̥"/>
      <w:sz w:val="21"/>
      <w:szCs w:val="21"/>
    </w:rPr>
  </w:style>
  <w:style w:type="character" w:customStyle="1" w:styleId="81">
    <w:name w:val="标题 2 Char"/>
    <w:link w:val="3"/>
    <w:qFormat/>
    <w:uiPriority w:val="0"/>
    <w:rPr>
      <w:rFonts w:ascii="宋体" w:hAnsi="宋体"/>
      <w:bCs/>
      <w:sz w:val="24"/>
      <w:szCs w:val="32"/>
    </w:rPr>
  </w:style>
  <w:style w:type="character" w:customStyle="1" w:styleId="82">
    <w:name w:val="标题 Char"/>
    <w:qFormat/>
    <w:uiPriority w:val="0"/>
    <w:rPr>
      <w:rFonts w:ascii="宋体" w:hAnsi="宋体" w:cs="Times New Roman"/>
      <w:b/>
      <w:bCs/>
      <w:sz w:val="24"/>
      <w:szCs w:val="32"/>
    </w:rPr>
  </w:style>
  <w:style w:type="character" w:customStyle="1" w:styleId="83">
    <w:name w:val="正文文本缩进 3 字符"/>
    <w:basedOn w:val="33"/>
    <w:link w:val="23"/>
    <w:semiHidden/>
    <w:qFormat/>
    <w:uiPriority w:val="0"/>
    <w:rPr>
      <w:rFonts w:ascii="宋体" w:hAnsi="宋体"/>
      <w:color w:val="FF0000"/>
      <w:kern w:val="2"/>
      <w:sz w:val="24"/>
      <w:szCs w:val="24"/>
    </w:rPr>
  </w:style>
  <w:style w:type="paragraph" w:customStyle="1" w:styleId="84">
    <w:name w:val="_Style 4"/>
    <w:basedOn w:val="2"/>
    <w:next w:val="1"/>
    <w:semiHidden/>
    <w:qFormat/>
    <w:uiPriority w:val="39"/>
    <w:pPr>
      <w:keepLines w:val="0"/>
      <w:widowControl/>
      <w:tabs>
        <w:tab w:val="left" w:pos="2400"/>
      </w:tabs>
      <w:spacing w:before="480" w:after="0" w:line="276" w:lineRule="auto"/>
      <w:ind w:left="2400" w:right="206" w:rightChars="98" w:hanging="720"/>
      <w:jc w:val="left"/>
      <w:outlineLvl w:val="9"/>
    </w:pPr>
    <w:rPr>
      <w:rFonts w:ascii="Cambria" w:hAnsi="Cambria"/>
      <w:color w:val="365F91"/>
      <w:kern w:val="0"/>
      <w:sz w:val="28"/>
      <w:szCs w:val="28"/>
    </w:rPr>
  </w:style>
  <w:style w:type="paragraph" w:customStyle="1" w:styleId="85">
    <w:name w:val="Char Char Char Char Char Char Char"/>
    <w:basedOn w:val="1"/>
    <w:qFormat/>
    <w:uiPriority w:val="0"/>
    <w:pPr>
      <w:widowControl/>
      <w:snapToGrid w:val="0"/>
      <w:spacing w:after="160" w:line="360" w:lineRule="auto"/>
      <w:jc w:val="left"/>
    </w:pPr>
    <w:rPr>
      <w:kern w:val="0"/>
      <w:sz w:val="24"/>
      <w:szCs w:val="24"/>
      <w:lang w:eastAsia="en-US"/>
    </w:rPr>
  </w:style>
  <w:style w:type="character" w:customStyle="1" w:styleId="86">
    <w:name w:val="正文文本缩进 2 字符"/>
    <w:basedOn w:val="33"/>
    <w:link w:val="17"/>
    <w:semiHidden/>
    <w:qFormat/>
    <w:uiPriority w:val="0"/>
    <w:rPr>
      <w:sz w:val="24"/>
    </w:rPr>
  </w:style>
  <w:style w:type="character" w:customStyle="1" w:styleId="87">
    <w:name w:val="日期 字符"/>
    <w:basedOn w:val="33"/>
    <w:link w:val="16"/>
    <w:semiHidden/>
    <w:qFormat/>
    <w:uiPriority w:val="0"/>
    <w:rPr>
      <w:sz w:val="24"/>
    </w:rPr>
  </w:style>
  <w:style w:type="paragraph" w:customStyle="1" w:styleId="88">
    <w:name w:val="Char1 Char Char Char Char Char Char"/>
    <w:basedOn w:val="1"/>
    <w:qFormat/>
    <w:uiPriority w:val="0"/>
    <w:rPr>
      <w:rFonts w:ascii="Tahoma" w:hAnsi="Tahoma"/>
      <w:sz w:val="24"/>
    </w:rPr>
  </w:style>
  <w:style w:type="paragraph" w:customStyle="1" w:styleId="89">
    <w:name w:val="样式1"/>
    <w:basedOn w:val="1"/>
    <w:qFormat/>
    <w:uiPriority w:val="0"/>
    <w:pPr>
      <w:adjustRightInd w:val="0"/>
      <w:spacing w:line="420" w:lineRule="auto"/>
      <w:jc w:val="center"/>
      <w:textAlignment w:val="baseline"/>
    </w:pPr>
    <w:rPr>
      <w:rFonts w:ascii="宋体"/>
      <w:kern w:val="0"/>
      <w:sz w:val="24"/>
    </w:rPr>
  </w:style>
  <w:style w:type="paragraph" w:customStyle="1" w:styleId="90">
    <w:name w:val="case3"/>
    <w:basedOn w:val="1"/>
    <w:qFormat/>
    <w:uiPriority w:val="0"/>
    <w:pPr>
      <w:widowControl/>
      <w:spacing w:before="100" w:beforeAutospacing="1" w:after="100" w:afterAutospacing="1" w:line="390" w:lineRule="atLeast"/>
      <w:jc w:val="left"/>
    </w:pPr>
    <w:rPr>
      <w:rFonts w:ascii="ˎ̥" w:hAnsi="ˎ̥" w:cs="宋体"/>
      <w:color w:val="000000"/>
      <w:kern w:val="0"/>
      <w:szCs w:val="21"/>
    </w:rPr>
  </w:style>
  <w:style w:type="paragraph" w:customStyle="1" w:styleId="91">
    <w:name w:val="general normal"/>
    <w:basedOn w:val="1"/>
    <w:qFormat/>
    <w:uiPriority w:val="0"/>
    <w:pPr>
      <w:widowControl/>
      <w:numPr>
        <w:ilvl w:val="0"/>
        <w:numId w:val="6"/>
      </w:numPr>
      <w:spacing w:before="120" w:after="120" w:line="360" w:lineRule="auto"/>
    </w:pPr>
    <w:rPr>
      <w:rFonts w:ascii="Arial" w:hAnsi="Arial"/>
      <w:kern w:val="0"/>
      <w:sz w:val="24"/>
      <w:szCs w:val="24"/>
    </w:rPr>
  </w:style>
  <w:style w:type="character" w:customStyle="1" w:styleId="92">
    <w:name w:val="文档结构图 字符"/>
    <w:basedOn w:val="33"/>
    <w:semiHidden/>
    <w:qFormat/>
    <w:uiPriority w:val="98"/>
    <w:rPr>
      <w:rFonts w:ascii="Microsoft YaHei UI" w:eastAsia="Microsoft YaHei UI"/>
      <w:kern w:val="2"/>
      <w:sz w:val="18"/>
      <w:szCs w:val="18"/>
    </w:rPr>
  </w:style>
  <w:style w:type="character" w:customStyle="1" w:styleId="93">
    <w:name w:val="文档结构图 字符1"/>
    <w:basedOn w:val="33"/>
    <w:link w:val="9"/>
    <w:semiHidden/>
    <w:qFormat/>
    <w:uiPriority w:val="0"/>
    <w:rPr>
      <w:rFonts w:ascii="宋体"/>
      <w:sz w:val="18"/>
      <w:szCs w:val="18"/>
    </w:rPr>
  </w:style>
  <w:style w:type="paragraph" w:customStyle="1" w:styleId="94">
    <w:name w:val="表格"/>
    <w:basedOn w:val="1"/>
    <w:link w:val="95"/>
    <w:qFormat/>
    <w:uiPriority w:val="10"/>
    <w:rPr>
      <w:rFonts w:ascii="宋体" w:hAnsi="宋体"/>
      <w:szCs w:val="30"/>
    </w:rPr>
  </w:style>
  <w:style w:type="character" w:customStyle="1" w:styleId="95">
    <w:name w:val="表格 字符"/>
    <w:basedOn w:val="33"/>
    <w:link w:val="94"/>
    <w:qFormat/>
    <w:uiPriority w:val="10"/>
    <w:rPr>
      <w:rFonts w:ascii="宋体" w:hAnsi="宋体"/>
      <w:kern w:val="2"/>
      <w:sz w:val="21"/>
      <w:szCs w:val="30"/>
    </w:rPr>
  </w:style>
  <w:style w:type="paragraph" w:customStyle="1" w:styleId="96">
    <w:name w:val="5）级标题"/>
    <w:basedOn w:val="76"/>
    <w:link w:val="98"/>
    <w:qFormat/>
    <w:uiPriority w:val="11"/>
    <w:pPr>
      <w:numPr>
        <w:ilvl w:val="0"/>
        <w:numId w:val="7"/>
      </w:numPr>
      <w:ind w:firstLine="0"/>
    </w:pPr>
  </w:style>
  <w:style w:type="character" w:customStyle="1" w:styleId="97">
    <w:name w:val="标书正文 字符"/>
    <w:basedOn w:val="51"/>
    <w:link w:val="76"/>
    <w:qFormat/>
    <w:uiPriority w:val="9"/>
    <w:rPr>
      <w:rFonts w:ascii="宋体" w:hAnsi="Courier New"/>
      <w:kern w:val="2"/>
      <w:sz w:val="21"/>
    </w:rPr>
  </w:style>
  <w:style w:type="character" w:customStyle="1" w:styleId="98">
    <w:name w:val="5）级标题 字符"/>
    <w:basedOn w:val="97"/>
    <w:link w:val="96"/>
    <w:qFormat/>
    <w:uiPriority w:val="11"/>
    <w:rPr>
      <w:rFonts w:ascii="宋体" w:hAnsi="Courier New"/>
      <w:kern w:val="2"/>
      <w:sz w:val="21"/>
    </w:rPr>
  </w:style>
  <w:style w:type="paragraph" w:customStyle="1" w:styleId="99">
    <w:name w:val="样式 标题 4 + 段前: 5 磅 段后: 5 磅 行距: 单倍行距"/>
    <w:next w:val="24"/>
    <w:qFormat/>
    <w:uiPriority w:val="0"/>
    <w:pPr>
      <w:keepNext/>
      <w:keepLines/>
      <w:widowControl w:val="0"/>
      <w:tabs>
        <w:tab w:val="left" w:pos="780"/>
        <w:tab w:val="left" w:pos="1680"/>
      </w:tabs>
      <w:adjustRightInd w:val="0"/>
      <w:spacing w:before="100" w:after="100" w:line="372" w:lineRule="auto"/>
      <w:ind w:left="400" w:leftChars="200" w:hanging="200" w:hangingChars="200"/>
      <w:outlineLvl w:val="3"/>
    </w:pPr>
    <w:rPr>
      <w:rFonts w:ascii="Arial" w:hAnsi="Arial" w:eastAsia="黑体" w:cs="Times New Roman"/>
      <w:b/>
      <w:sz w:val="28"/>
      <w:lang w:val="en-US" w:eastAsia="zh-CN" w:bidi="ar-SA"/>
    </w:rPr>
  </w:style>
  <w:style w:type="character" w:customStyle="1" w:styleId="100">
    <w:name w:val="Subtle Emphasis"/>
    <w:basedOn w:val="33"/>
    <w:qFormat/>
    <w:uiPriority w:val="19"/>
    <w:rPr>
      <w:rFonts w:eastAsia="宋体"/>
      <w:i/>
      <w:iCs/>
      <w:color w:val="auto"/>
      <w:sz w:val="21"/>
    </w:rPr>
  </w:style>
  <w:style w:type="paragraph" w:customStyle="1" w:styleId="101">
    <w:name w:val="⑥级标题"/>
    <w:basedOn w:val="74"/>
    <w:link w:val="103"/>
    <w:qFormat/>
    <w:uiPriority w:val="12"/>
    <w:pPr>
      <w:numPr>
        <w:numId w:val="8"/>
      </w:numPr>
    </w:pPr>
  </w:style>
  <w:style w:type="character" w:customStyle="1" w:styleId="102">
    <w:name w:val="3级标题 字符"/>
    <w:basedOn w:val="51"/>
    <w:link w:val="74"/>
    <w:qFormat/>
    <w:uiPriority w:val="3"/>
    <w:rPr>
      <w:rFonts w:ascii="宋体" w:hAnsi="Courier New"/>
      <w:b/>
      <w:kern w:val="2"/>
      <w:sz w:val="21"/>
    </w:rPr>
  </w:style>
  <w:style w:type="character" w:customStyle="1" w:styleId="103">
    <w:name w:val="⑥级标题 字符"/>
    <w:basedOn w:val="102"/>
    <w:link w:val="101"/>
    <w:qFormat/>
    <w:uiPriority w:val="12"/>
    <w:rPr>
      <w:rFonts w:ascii="宋体" w:hAnsi="Courier New"/>
      <w:kern w:val="2"/>
      <w:sz w:val="21"/>
    </w:rPr>
  </w:style>
  <w:style w:type="character" w:customStyle="1" w:styleId="104">
    <w:name w:val="电子邮件签名 字符"/>
    <w:link w:val="7"/>
    <w:semiHidden/>
    <w:qFormat/>
    <w:locked/>
    <w:uiPriority w:val="99"/>
    <w:rPr>
      <w:sz w:val="21"/>
      <w:szCs w:val="21"/>
    </w:rPr>
  </w:style>
  <w:style w:type="character" w:customStyle="1" w:styleId="105">
    <w:name w:val="电子邮件签名 字符1"/>
    <w:basedOn w:val="33"/>
    <w:semiHidden/>
    <w:qFormat/>
    <w:uiPriority w:val="98"/>
    <w:rPr>
      <w:rFonts w:ascii="Times New Roman" w:hAnsi="Times New Roman"/>
      <w:kern w:val="2"/>
      <w:sz w:val="21"/>
    </w:rPr>
  </w:style>
  <w:style w:type="character" w:customStyle="1" w:styleId="106">
    <w:name w:val="HR正文 Char"/>
    <w:link w:val="107"/>
    <w:qFormat/>
    <w:uiPriority w:val="0"/>
    <w:rPr>
      <w:kern w:val="2"/>
      <w:sz w:val="24"/>
      <w:szCs w:val="24"/>
    </w:rPr>
  </w:style>
  <w:style w:type="paragraph" w:customStyle="1" w:styleId="107">
    <w:name w:val="HR正文"/>
    <w:basedOn w:val="1"/>
    <w:link w:val="106"/>
    <w:qFormat/>
    <w:uiPriority w:val="0"/>
    <w:pPr>
      <w:spacing w:line="300" w:lineRule="auto"/>
      <w:ind w:firstLine="200" w:firstLineChars="200"/>
    </w:pPr>
    <w:rPr>
      <w:rFonts w:ascii="Calibri" w:hAnsi="Calibri"/>
      <w:sz w:val="24"/>
      <w:szCs w:val="24"/>
    </w:rPr>
  </w:style>
  <w:style w:type="character" w:customStyle="1" w:styleId="108">
    <w:name w:val="信息标题 字符"/>
    <w:link w:val="26"/>
    <w:semiHidden/>
    <w:qFormat/>
    <w:locked/>
    <w:uiPriority w:val="99"/>
    <w:rPr>
      <w:rFonts w:ascii="Cambria" w:hAnsi="Cambria" w:cs="Cambria"/>
      <w:sz w:val="24"/>
      <w:szCs w:val="24"/>
      <w:shd w:val="pct20" w:color="auto" w:fill="auto"/>
    </w:rPr>
  </w:style>
  <w:style w:type="character" w:customStyle="1" w:styleId="109">
    <w:name w:val="信息标题 字符1"/>
    <w:basedOn w:val="33"/>
    <w:semiHidden/>
    <w:qFormat/>
    <w:uiPriority w:val="98"/>
    <w:rPr>
      <w:rFonts w:asciiTheme="majorHAnsi" w:hAnsiTheme="majorHAnsi" w:eastAsiaTheme="majorEastAsia" w:cstheme="majorBidi"/>
      <w:kern w:val="2"/>
      <w:sz w:val="24"/>
      <w:szCs w:val="24"/>
      <w:shd w:val="pct20" w:color="auto" w:fill="auto"/>
    </w:rPr>
  </w:style>
  <w:style w:type="character" w:customStyle="1" w:styleId="110">
    <w:name w:val="页眉 Char1"/>
    <w:semiHidden/>
    <w:qFormat/>
    <w:locked/>
    <w:uiPriority w:val="0"/>
    <w:rPr>
      <w:rFonts w:ascii="Calibri" w:hAnsi="Calibri"/>
      <w:sz w:val="18"/>
      <w:szCs w:val="18"/>
    </w:rPr>
  </w:style>
  <w:style w:type="paragraph" w:customStyle="1" w:styleId="111">
    <w:name w:val="标书正文格式"/>
    <w:basedOn w:val="15"/>
    <w:qFormat/>
    <w:uiPriority w:val="0"/>
    <w:pPr>
      <w:spacing w:line="360" w:lineRule="auto"/>
      <w:ind w:firstLine="200" w:firstLineChars="200"/>
    </w:pPr>
    <w:rPr>
      <w:rFonts w:hAnsi="宋体"/>
      <w:color w:val="000000"/>
      <w:sz w:val="24"/>
      <w:szCs w:val="24"/>
    </w:rPr>
  </w:style>
  <w:style w:type="paragraph" w:customStyle="1" w:styleId="112">
    <w:name w:val="标书三级标题"/>
    <w:basedOn w:val="4"/>
    <w:qFormat/>
    <w:uiPriority w:val="0"/>
    <w:pPr>
      <w:spacing w:before="0" w:after="0" w:line="240" w:lineRule="auto"/>
      <w:ind w:firstLine="482" w:firstLineChars="200"/>
    </w:pPr>
    <w:rPr>
      <w:color w:val="000000"/>
      <w:sz w:val="24"/>
      <w:szCs w:val="24"/>
    </w:rPr>
  </w:style>
  <w:style w:type="paragraph" w:styleId="113">
    <w:name w:val="No Spacing"/>
    <w:qFormat/>
    <w:uiPriority w:val="1"/>
    <w:pPr>
      <w:widowControl w:val="0"/>
      <w:jc w:val="both"/>
    </w:pPr>
    <w:rPr>
      <w:rFonts w:ascii="Times New Roman" w:hAnsi="Times New Roman" w:eastAsia="宋体" w:cs="Times New Roman"/>
      <w:kern w:val="2"/>
      <w:sz w:val="21"/>
      <w:lang w:val="en-US" w:eastAsia="zh-CN" w:bidi="ar-SA"/>
    </w:rPr>
  </w:style>
  <w:style w:type="paragraph" w:customStyle="1" w:styleId="114">
    <w:name w:val="标书表格"/>
    <w:basedOn w:val="1"/>
    <w:qFormat/>
    <w:uiPriority w:val="0"/>
    <w:pPr>
      <w:jc w:val="center"/>
    </w:pPr>
    <w:rPr>
      <w:b/>
    </w:rPr>
  </w:style>
  <w:style w:type="paragraph" w:customStyle="1" w:styleId="115">
    <w:name w:val="Table Text"/>
    <w:basedOn w:val="1"/>
    <w:semiHidden/>
    <w:qFormat/>
    <w:uiPriority w:val="0"/>
    <w:rPr>
      <w:rFonts w:ascii="仿宋" w:hAnsi="仿宋" w:eastAsia="仿宋" w:cs="仿宋"/>
      <w:sz w:val="24"/>
      <w:szCs w:val="24"/>
      <w:lang w:val="en-US" w:eastAsia="en-US" w:bidi="ar-SA"/>
    </w:rPr>
  </w:style>
  <w:style w:type="table" w:customStyle="1" w:styleId="116">
    <w:name w:val="Table Normal"/>
    <w:semiHidden/>
    <w:unhideWhenUsed/>
    <w:qFormat/>
    <w:uiPriority w:val="0"/>
    <w:tblPr>
      <w:tblCellMar>
        <w:top w:w="0" w:type="dxa"/>
        <w:left w:w="0" w:type="dxa"/>
        <w:bottom w:w="0" w:type="dxa"/>
        <w:right w:w="0" w:type="dxa"/>
      </w:tblCellMar>
    </w:tbl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footer" Target="footer4.xml"/><Relationship Id="rId7" Type="http://schemas.openxmlformats.org/officeDocument/2006/relationships/header" Target="header2.xml"/><Relationship Id="rId6" Type="http://schemas.openxmlformats.org/officeDocument/2006/relationships/footer" Target="footer3.xml"/><Relationship Id="rId5" Type="http://schemas.openxmlformats.org/officeDocument/2006/relationships/footer" Target="footer2.xml"/><Relationship Id="rId4" Type="http://schemas.openxmlformats.org/officeDocument/2006/relationships/footer" Target="footer1.xml"/><Relationship Id="rId3" Type="http://schemas.openxmlformats.org/officeDocument/2006/relationships/header" Target="header1.xml"/><Relationship Id="rId27" Type="http://schemas.openxmlformats.org/officeDocument/2006/relationships/fontTable" Target="fontTable.xml"/><Relationship Id="rId26" Type="http://schemas.openxmlformats.org/officeDocument/2006/relationships/numbering" Target="numbering.xml"/><Relationship Id="rId25" Type="http://schemas.openxmlformats.org/officeDocument/2006/relationships/image" Target="media/image15.png"/><Relationship Id="rId24" Type="http://schemas.openxmlformats.org/officeDocument/2006/relationships/image" Target="media/image14.png"/><Relationship Id="rId23" Type="http://schemas.openxmlformats.org/officeDocument/2006/relationships/image" Target="media/image13.png"/><Relationship Id="rId22" Type="http://schemas.openxmlformats.org/officeDocument/2006/relationships/image" Target="media/image12.png"/><Relationship Id="rId21" Type="http://schemas.openxmlformats.org/officeDocument/2006/relationships/image" Target="media/image11.png"/><Relationship Id="rId20" Type="http://schemas.openxmlformats.org/officeDocument/2006/relationships/image" Target="media/image10.png"/><Relationship Id="rId2" Type="http://schemas.openxmlformats.org/officeDocument/2006/relationships/settings" Target="settings.xml"/><Relationship Id="rId19" Type="http://schemas.openxmlformats.org/officeDocument/2006/relationships/image" Target="media/image9.png"/><Relationship Id="rId18" Type="http://schemas.openxmlformats.org/officeDocument/2006/relationships/image" Target="media/image8.png"/><Relationship Id="rId17" Type="http://schemas.openxmlformats.org/officeDocument/2006/relationships/image" Target="media/image7.png"/><Relationship Id="rId16" Type="http://schemas.openxmlformats.org/officeDocument/2006/relationships/image" Target="media/image6.png"/><Relationship Id="rId15" Type="http://schemas.openxmlformats.org/officeDocument/2006/relationships/image" Target="media/image5.png"/><Relationship Id="rId14" Type="http://schemas.openxmlformats.org/officeDocument/2006/relationships/image" Target="media/image4.png"/><Relationship Id="rId13" Type="http://schemas.openxmlformats.org/officeDocument/2006/relationships/image" Target="media/image3.png"/><Relationship Id="rId12" Type="http://schemas.openxmlformats.org/officeDocument/2006/relationships/image" Target="media/image2.emf"/><Relationship Id="rId11" Type="http://schemas.openxmlformats.org/officeDocument/2006/relationships/oleObject" Target="embeddings/oleObject1.bin"/><Relationship Id="rId10" Type="http://schemas.openxmlformats.org/officeDocument/2006/relationships/image" Target="media/image1.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Company>Hewlett-Packard Company</Company>
  <Pages>38</Pages>
  <Words>3737</Words>
  <Characters>3993</Characters>
  <Lines>127</Lines>
  <Paragraphs>35</Paragraphs>
  <TotalTime>3</TotalTime>
  <ScaleCrop>false</ScaleCrop>
  <LinksUpToDate>false</LinksUpToDate>
  <CharactersWithSpaces>4051</CharactersWithSpaces>
  <Application>WPS Office_12.1.0.25225_F1E327BC-269C-435d-A152-05C5408002CA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2020-06-30T00:26:00Z</dcterms:created>
  <dc:creator>微软用户</dc:creator>
  <cp:lastModifiedBy>旧念何挽</cp:lastModifiedBy>
  <cp:lastPrinted>2020-06-28T02:28:00Z</cp:lastPrinted>
  <dcterms:modified xsi:type="dcterms:W3CDTF">2026-02-10T02:47:54Z</dcterms:modified>
  <cp:revision>171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2052-12.1.0.25225</vt:lpwstr>
  </property>
  <property fmtid="{D5CDD505-2E9C-101B-9397-08002B2CF9AE}" pid="3" name="ICV">
    <vt:lpwstr>EFD04B6BFC8E4B4DBCCE620A1011CD43_13</vt:lpwstr>
  </property>
  <property fmtid="{D5CDD505-2E9C-101B-9397-08002B2CF9AE}" pid="4" name="KSOTemplateDocerSaveRecord">
    <vt:lpwstr>eyJoZGlkIjoiYWVmMGY1YWU3MWFiOTFlM2E3MWViYzU5MWVlYWU0ZjIiLCJ1c2VySWQiOiI0MDA0OTUxOTYifQ==</vt:lpwstr>
  </property>
</Properties>
</file>